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auto"/>
          <w:sz w:val="24"/>
          <w:szCs w:val="24"/>
          <w:highlight w:val="none"/>
        </w:rPr>
      </w:pPr>
      <w:r>
        <w:rPr>
          <w:rFonts w:ascii="宋体" w:hAnsi="宋体" w:cs="宋体"/>
          <w:color w:val="auto"/>
          <w:sz w:val="28"/>
          <w:szCs w:val="28"/>
          <w:highlight w:val="none"/>
        </w:rPr>
        <w:t>R2项目</w:t>
      </w:r>
      <w:r>
        <w:rPr>
          <w:rFonts w:hint="eastAsia" w:ascii="宋体" w:hAnsi="宋体" w:cs="宋体"/>
          <w:color w:val="auto"/>
          <w:sz w:val="28"/>
          <w:szCs w:val="28"/>
          <w:highlight w:val="none"/>
          <w:u w:val="single"/>
        </w:rPr>
        <w:t>氮氧化物监测装置</w:t>
      </w:r>
      <w:r>
        <w:rPr>
          <w:rFonts w:hint="eastAsia" w:ascii="宋体" w:hAnsi="宋体" w:cs="宋体"/>
          <w:color w:val="auto"/>
          <w:sz w:val="28"/>
          <w:szCs w:val="28"/>
          <w:highlight w:val="none"/>
        </w:rPr>
        <w:t>设备采购招标公告</w:t>
      </w:r>
    </w:p>
    <w:p>
      <w:pPr>
        <w:pStyle w:val="5"/>
        <w:numPr>
          <w:ilvl w:val="0"/>
          <w:numId w:val="4"/>
        </w:numPr>
        <w:spacing w:before="31" w:after="31"/>
        <w:rPr>
          <w:rStyle w:val="7"/>
          <w:rFonts w:ascii="宋体" w:hAnsi="宋体" w:cs="宋体"/>
          <w:b w:val="0"/>
          <w:bCs w:val="0"/>
          <w:color w:val="auto"/>
          <w:highlight w:val="none"/>
        </w:rPr>
      </w:pPr>
      <w:bookmarkStart w:id="0" w:name="_Toc70508104"/>
      <w:bookmarkStart w:id="1" w:name="_Toc9589"/>
      <w:r>
        <w:rPr>
          <w:rStyle w:val="7"/>
          <w:rFonts w:hint="eastAsia" w:ascii="宋体" w:hAnsi="宋体" w:cs="宋体"/>
          <w:b w:val="0"/>
          <w:bCs w:val="0"/>
          <w:color w:val="auto"/>
          <w:highlight w:val="none"/>
        </w:rPr>
        <w:t>招标条件</w:t>
      </w:r>
      <w:bookmarkEnd w:id="0"/>
      <w:r>
        <w:rPr>
          <w:rStyle w:val="7"/>
          <w:rFonts w:hint="eastAsia" w:ascii="宋体" w:hAnsi="宋体" w:cs="宋体"/>
          <w:b w:val="0"/>
          <w:bCs w:val="0"/>
          <w:color w:val="auto"/>
          <w:highlight w:val="none"/>
        </w:rPr>
        <w:t xml:space="preserve"> </w:t>
      </w:r>
    </w:p>
    <w:bookmarkEnd w:id="1"/>
    <w:p>
      <w:pPr>
        <w:pStyle w:val="11"/>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北京国科军友工程咨询有限公司（以下简称“招标代理机构”）受中国核电工程有限公司（以下简称“招标人”）的委托，就本项目进行公开招标。本招标项目为</w:t>
      </w:r>
      <w:r>
        <w:rPr>
          <w:rFonts w:hint="eastAsia" w:ascii="宋体" w:hAnsi="宋体" w:eastAsia="宋体" w:cs="宋体"/>
          <w:b w:val="0"/>
          <w:color w:val="auto"/>
          <w:sz w:val="24"/>
          <w:szCs w:val="24"/>
          <w:highlight w:val="none"/>
          <w:u w:val="single"/>
        </w:rPr>
        <w:t>R2项目</w:t>
      </w:r>
      <w:r>
        <w:rPr>
          <w:rFonts w:hint="eastAsia" w:ascii="宋体" w:hAnsi="宋体" w:eastAsia="宋体" w:cs="宋体"/>
          <w:b w:val="0"/>
          <w:color w:val="auto"/>
          <w:sz w:val="24"/>
          <w:szCs w:val="24"/>
          <w:highlight w:val="none"/>
        </w:rPr>
        <w:t>，建设单位为</w:t>
      </w:r>
      <w:r>
        <w:rPr>
          <w:rFonts w:hint="eastAsia" w:ascii="宋体" w:hAnsi="宋体" w:cs="宋体"/>
          <w:b w:val="0"/>
          <w:color w:val="auto"/>
          <w:sz w:val="24"/>
          <w:szCs w:val="24"/>
          <w:highlight w:val="none"/>
          <w:u w:val="single"/>
        </w:rPr>
        <w:t>中核四</w:t>
      </w:r>
      <w:r>
        <w:rPr>
          <w:rFonts w:ascii="宋体" w:hAnsi="宋体" w:cs="宋体"/>
          <w:b w:val="0"/>
          <w:color w:val="auto"/>
          <w:sz w:val="24"/>
          <w:szCs w:val="24"/>
          <w:highlight w:val="none"/>
          <w:u w:val="single"/>
        </w:rPr>
        <w:t>0四有限公司</w:t>
      </w:r>
      <w:r>
        <w:rPr>
          <w:rFonts w:hint="eastAsia" w:ascii="宋体" w:hAnsi="宋体" w:eastAsia="宋体" w:cs="宋体"/>
          <w:b w:val="0"/>
          <w:color w:val="auto"/>
          <w:sz w:val="24"/>
          <w:szCs w:val="24"/>
          <w:highlight w:val="none"/>
        </w:rPr>
        <w:t>，招标人为</w:t>
      </w:r>
      <w:r>
        <w:rPr>
          <w:rFonts w:hint="eastAsia" w:ascii="宋体" w:hAnsi="宋体" w:eastAsia="宋体" w:cs="宋体"/>
          <w:b w:val="0"/>
          <w:color w:val="auto"/>
          <w:sz w:val="24"/>
          <w:szCs w:val="24"/>
          <w:highlight w:val="none"/>
          <w:u w:val="single"/>
        </w:rPr>
        <w:t>中国核电工程有限公司</w:t>
      </w:r>
      <w:r>
        <w:rPr>
          <w:rFonts w:hint="eastAsia" w:ascii="宋体" w:hAnsi="宋体" w:eastAsia="宋体" w:cs="宋体"/>
          <w:b w:val="0"/>
          <w:color w:val="auto"/>
          <w:sz w:val="24"/>
          <w:szCs w:val="24"/>
          <w:highlight w:val="none"/>
        </w:rPr>
        <w:t>，招标项目资金为</w:t>
      </w:r>
      <w:r>
        <w:rPr>
          <w:rFonts w:hint="eastAsia" w:ascii="宋体" w:hAnsi="宋体" w:cs="宋体"/>
          <w:b w:val="0"/>
          <w:color w:val="auto"/>
          <w:sz w:val="24"/>
          <w:szCs w:val="24"/>
          <w:highlight w:val="none"/>
          <w:u w:val="single"/>
        </w:rPr>
        <w:t>国拨资金</w:t>
      </w:r>
      <w:r>
        <w:rPr>
          <w:rFonts w:hint="eastAsia" w:ascii="宋体" w:hAnsi="宋体" w:eastAsia="宋体" w:cs="宋体"/>
          <w:b w:val="0"/>
          <w:color w:val="auto"/>
          <w:sz w:val="24"/>
          <w:szCs w:val="24"/>
          <w:highlight w:val="none"/>
        </w:rPr>
        <w:t>，出资比例</w:t>
      </w:r>
      <w:r>
        <w:rPr>
          <w:rFonts w:hint="eastAsia" w:ascii="宋体" w:hAnsi="宋体" w:eastAsia="宋体" w:cs="宋体"/>
          <w:b w:val="0"/>
          <w:color w:val="auto"/>
          <w:sz w:val="24"/>
          <w:szCs w:val="24"/>
          <w:highlight w:val="none"/>
          <w:u w:val="single"/>
        </w:rPr>
        <w:t>已确定</w:t>
      </w:r>
      <w:r>
        <w:rPr>
          <w:rFonts w:hint="eastAsia" w:ascii="宋体" w:hAnsi="宋体" w:eastAsia="宋体" w:cs="宋体"/>
          <w:b w:val="0"/>
          <w:color w:val="auto"/>
          <w:sz w:val="24"/>
          <w:szCs w:val="24"/>
          <w:highlight w:val="none"/>
        </w:rPr>
        <w:t>。该项目已具备招标条件，现对</w:t>
      </w:r>
      <w:r>
        <w:rPr>
          <w:rFonts w:hint="eastAsia" w:ascii="宋体" w:hAnsi="宋体" w:eastAsia="宋体" w:cs="宋体"/>
          <w:b w:val="0"/>
          <w:color w:val="auto"/>
          <w:sz w:val="24"/>
          <w:szCs w:val="24"/>
          <w:highlight w:val="none"/>
          <w:u w:val="single"/>
        </w:rPr>
        <w:t>氮氧化物监测装置设备</w:t>
      </w:r>
      <w:r>
        <w:rPr>
          <w:rFonts w:hint="eastAsia" w:ascii="宋体" w:hAnsi="宋体" w:eastAsia="宋体" w:cs="宋体"/>
          <w:b w:val="0"/>
          <w:color w:val="auto"/>
          <w:sz w:val="24"/>
          <w:szCs w:val="24"/>
          <w:highlight w:val="none"/>
        </w:rPr>
        <w:t>采购进行公开招标。</w:t>
      </w:r>
    </w:p>
    <w:p>
      <w:pPr>
        <w:pStyle w:val="5"/>
        <w:numPr>
          <w:ilvl w:val="0"/>
          <w:numId w:val="4"/>
        </w:numPr>
        <w:spacing w:before="31" w:after="31"/>
        <w:rPr>
          <w:rFonts w:ascii="宋体" w:hAnsi="宋体" w:cs="宋体"/>
          <w:b w:val="0"/>
          <w:bCs w:val="0"/>
          <w:color w:val="auto"/>
          <w:highlight w:val="none"/>
        </w:rPr>
      </w:pPr>
      <w:bookmarkStart w:id="2" w:name="_Toc70508105"/>
      <w:bookmarkStart w:id="3" w:name="_Toc24738"/>
      <w:r>
        <w:rPr>
          <w:rStyle w:val="7"/>
          <w:rFonts w:hint="eastAsia" w:ascii="宋体" w:hAnsi="宋体" w:cs="宋体"/>
          <w:b w:val="0"/>
          <w:bCs w:val="0"/>
          <w:color w:val="auto"/>
          <w:highlight w:val="none"/>
        </w:rPr>
        <w:t>项目概况与招标范围</w:t>
      </w:r>
      <w:bookmarkEnd w:id="2"/>
      <w:bookmarkEnd w:id="3"/>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招标编号：</w:t>
      </w:r>
      <w:r>
        <w:rPr>
          <w:rFonts w:ascii="宋体" w:hAnsi="宋体" w:eastAsia="宋体" w:cs="宋体"/>
          <w:b w:val="0"/>
          <w:color w:val="auto"/>
          <w:highlight w:val="none"/>
          <w:u w:val="single"/>
        </w:rPr>
        <w:t>QT022WXR058C11506BD</w:t>
      </w:r>
      <w:r>
        <w:rPr>
          <w:rFonts w:hint="eastAsia" w:ascii="宋体" w:hAnsi="宋体" w:eastAsia="宋体" w:cs="宋体"/>
          <w:b w:val="0"/>
          <w:color w:val="auto"/>
          <w:highlight w:val="none"/>
          <w:u w:val="single"/>
        </w:rPr>
        <w:t>/GKZH-22181ZH352</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项目名称：</w:t>
      </w:r>
      <w:r>
        <w:rPr>
          <w:rFonts w:hint="eastAsia" w:ascii="宋体" w:hAnsi="宋体" w:eastAsia="宋体" w:cs="宋体"/>
          <w:b w:val="0"/>
          <w:color w:val="auto"/>
          <w:highlight w:val="none"/>
          <w:u w:val="single"/>
        </w:rPr>
        <w:t>R2项目氮氧化物监测装置设备采购</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项目概况：</w:t>
      </w:r>
      <w:r>
        <w:rPr>
          <w:rFonts w:hint="eastAsia" w:ascii="宋体" w:hAnsi="宋体" w:eastAsia="宋体" w:cs="宋体"/>
          <w:b w:val="0"/>
          <w:color w:val="auto"/>
          <w:highlight w:val="none"/>
          <w:u w:val="single"/>
        </w:rPr>
        <w:t>项目建设地点位于甘肃</w:t>
      </w:r>
      <w:bookmarkStart w:id="24" w:name="_GoBack"/>
      <w:bookmarkEnd w:id="24"/>
      <w:r>
        <w:rPr>
          <w:rFonts w:hint="eastAsia" w:ascii="宋体" w:hAnsi="宋体" w:eastAsia="宋体" w:cs="宋体"/>
          <w:b w:val="0"/>
          <w:color w:val="auto"/>
          <w:highlight w:val="none"/>
          <w:u w:val="single"/>
        </w:rPr>
        <w:t>省酒泉市金塔县</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招标范围：</w:t>
      </w:r>
      <w:r>
        <w:rPr>
          <w:rFonts w:hint="eastAsia" w:ascii="宋体" w:hAnsi="宋体" w:eastAsia="宋体" w:cs="宋体"/>
          <w:b w:val="0"/>
          <w:color w:val="auto"/>
          <w:highlight w:val="none"/>
          <w:u w:val="single"/>
        </w:rPr>
        <w:t>氮氧化物监测装置,共4台套,具体如下:</w:t>
      </w:r>
    </w:p>
    <w:tbl>
      <w:tblPr>
        <w:tblStyle w:val="2"/>
        <w:tblW w:w="5000" w:type="pct"/>
        <w:jc w:val="center"/>
        <w:tblLayout w:type="fixed"/>
        <w:tblCellMar>
          <w:top w:w="0" w:type="dxa"/>
          <w:left w:w="108" w:type="dxa"/>
          <w:bottom w:w="0" w:type="dxa"/>
          <w:right w:w="108" w:type="dxa"/>
        </w:tblCellMar>
      </w:tblPr>
      <w:tblGrid>
        <w:gridCol w:w="565"/>
        <w:gridCol w:w="1204"/>
        <w:gridCol w:w="2105"/>
        <w:gridCol w:w="751"/>
        <w:gridCol w:w="602"/>
        <w:gridCol w:w="1955"/>
        <w:gridCol w:w="903"/>
        <w:gridCol w:w="905"/>
        <w:gridCol w:w="864"/>
      </w:tblGrid>
      <w:tr>
        <w:tblPrEx>
          <w:tblCellMar>
            <w:top w:w="0" w:type="dxa"/>
            <w:left w:w="108" w:type="dxa"/>
            <w:bottom w:w="0" w:type="dxa"/>
            <w:right w:w="108" w:type="dxa"/>
          </w:tblCellMar>
        </w:tblPrEx>
        <w:trPr>
          <w:trHeight w:val="20" w:hRule="atLeast"/>
          <w:jc w:val="center"/>
        </w:trPr>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序号</w:t>
            </w:r>
          </w:p>
        </w:tc>
        <w:tc>
          <w:tcPr>
            <w:tcW w:w="6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设备</w:t>
            </w:r>
          </w:p>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名称</w:t>
            </w:r>
          </w:p>
        </w:tc>
        <w:tc>
          <w:tcPr>
            <w:tcW w:w="1068"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设备位号</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数量</w:t>
            </w:r>
          </w:p>
        </w:tc>
        <w:tc>
          <w:tcPr>
            <w:tcW w:w="30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单位</w:t>
            </w:r>
          </w:p>
        </w:tc>
        <w:tc>
          <w:tcPr>
            <w:tcW w:w="9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规格型号</w:t>
            </w:r>
            <w:r>
              <w:rPr>
                <w:rFonts w:ascii="Times New Roman" w:hAnsi="Times New Roman" w:cs="Times New Roman"/>
                <w:b/>
                <w:bCs/>
                <w:color w:val="auto"/>
                <w:kern w:val="0"/>
                <w:highlight w:val="none"/>
              </w:rPr>
              <w:br w:type="textWrapping"/>
            </w:r>
            <w:r>
              <w:rPr>
                <w:rFonts w:ascii="Times New Roman" w:hAnsi="Times New Roman" w:cs="Times New Roman"/>
                <w:b/>
                <w:bCs/>
                <w:color w:val="auto"/>
                <w:kern w:val="0"/>
                <w:highlight w:val="none"/>
              </w:rPr>
              <w:t>(主要性能指标)</w:t>
            </w:r>
          </w:p>
        </w:tc>
        <w:tc>
          <w:tcPr>
            <w:tcW w:w="4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安全</w:t>
            </w:r>
          </w:p>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等级</w:t>
            </w:r>
          </w:p>
        </w:tc>
        <w:tc>
          <w:tcPr>
            <w:tcW w:w="4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抗震</w:t>
            </w:r>
          </w:p>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等级</w:t>
            </w:r>
          </w:p>
        </w:tc>
        <w:tc>
          <w:tcPr>
            <w:tcW w:w="43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color w:val="auto"/>
                <w:kern w:val="0"/>
                <w:highlight w:val="none"/>
              </w:rPr>
            </w:pPr>
            <w:r>
              <w:rPr>
                <w:rFonts w:ascii="Times New Roman" w:hAnsi="Times New Roman" w:cs="Times New Roman"/>
                <w:b/>
                <w:bCs/>
                <w:color w:val="auto"/>
                <w:kern w:val="0"/>
                <w:highlight w:val="none"/>
              </w:rPr>
              <w:t>质保等级</w:t>
            </w:r>
          </w:p>
        </w:tc>
      </w:tr>
      <w:tr>
        <w:tblPrEx>
          <w:tblCellMar>
            <w:top w:w="0" w:type="dxa"/>
            <w:left w:w="108" w:type="dxa"/>
            <w:bottom w:w="0" w:type="dxa"/>
            <w:right w:w="108" w:type="dxa"/>
          </w:tblCellMar>
        </w:tblPrEx>
        <w:trPr>
          <w:trHeight w:val="20" w:hRule="atLeast"/>
          <w:jc w:val="center"/>
        </w:trPr>
        <w:tc>
          <w:tcPr>
            <w:tcW w:w="28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1</w:t>
            </w:r>
          </w:p>
        </w:tc>
        <w:tc>
          <w:tcPr>
            <w:tcW w:w="611"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cs="Times New Roman"/>
                <w:color w:val="auto"/>
                <w:highlight w:val="none"/>
              </w:rPr>
              <w:t>氮氧化物监测装置</w:t>
            </w:r>
          </w:p>
        </w:tc>
        <w:tc>
          <w:tcPr>
            <w:tcW w:w="1068" w:type="pc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2AT-TATD001</w:t>
            </w:r>
          </w:p>
        </w:tc>
        <w:tc>
          <w:tcPr>
            <w:tcW w:w="38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台</w:t>
            </w:r>
          </w:p>
        </w:tc>
        <w:tc>
          <w:tcPr>
            <w:tcW w:w="992" w:type="pct"/>
            <w:tcBorders>
              <w:top w:val="nil"/>
              <w:left w:val="nil"/>
              <w:bottom w:val="single" w:color="auto" w:sz="4" w:space="0"/>
              <w:right w:val="single" w:color="auto" w:sz="4" w:space="0"/>
            </w:tcBorders>
            <w:shd w:val="clear" w:color="auto" w:fill="auto"/>
            <w:vAlign w:val="center"/>
          </w:tcPr>
          <w:p>
            <w:pPr>
              <w:jc w:val="center"/>
              <w:rPr>
                <w:rFonts w:ascii="Times New Roman" w:cs="Times New Roman"/>
                <w:color w:val="auto"/>
                <w:highlight w:val="none"/>
              </w:rPr>
            </w:pPr>
            <w:r>
              <w:rPr>
                <w:rFonts w:ascii="Times New Roman" w:cs="Times New Roman"/>
                <w:color w:val="auto"/>
                <w:highlight w:val="none"/>
              </w:rPr>
              <w:t>测量范围：</w:t>
            </w:r>
          </w:p>
          <w:p>
            <w:pPr>
              <w:jc w:val="center"/>
              <w:rPr>
                <w:rFonts w:ascii="Times New Roman" w:hAnsi="Times New Roman" w:cs="Times New Roman"/>
                <w:color w:val="auto"/>
                <w:highlight w:val="none"/>
              </w:rPr>
            </w:pPr>
            <w:r>
              <w:rPr>
                <w:rFonts w:ascii="Times New Roman" w:hAnsi="Times New Roman" w:cs="Times New Roman"/>
                <w:color w:val="auto"/>
                <w:highlight w:val="none"/>
              </w:rPr>
              <w:t xml:space="preserve"> 0~ 50000mg/m</w:t>
            </w:r>
            <w:r>
              <w:rPr>
                <w:rFonts w:ascii="Times New Roman" w:hAnsi="Times New Roman" w:cs="Times New Roman"/>
                <w:color w:val="auto"/>
                <w:highlight w:val="none"/>
                <w:vertAlign w:val="superscript"/>
              </w:rPr>
              <w:t>3</w:t>
            </w:r>
          </w:p>
        </w:tc>
        <w:tc>
          <w:tcPr>
            <w:tcW w:w="45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NR</w:t>
            </w:r>
          </w:p>
        </w:tc>
        <w:tc>
          <w:tcPr>
            <w:tcW w:w="459"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NA</w:t>
            </w:r>
          </w:p>
        </w:tc>
        <w:tc>
          <w:tcPr>
            <w:tcW w:w="43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QAN</w:t>
            </w:r>
          </w:p>
        </w:tc>
      </w:tr>
      <w:tr>
        <w:tblPrEx>
          <w:tblCellMar>
            <w:top w:w="0" w:type="dxa"/>
            <w:left w:w="108" w:type="dxa"/>
            <w:bottom w:w="0" w:type="dxa"/>
            <w:right w:w="108" w:type="dxa"/>
          </w:tblCellMar>
        </w:tblPrEx>
        <w:trPr>
          <w:trHeight w:val="20" w:hRule="atLeast"/>
          <w:jc w:val="center"/>
        </w:trPr>
        <w:tc>
          <w:tcPr>
            <w:tcW w:w="28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2</w:t>
            </w:r>
          </w:p>
        </w:tc>
        <w:tc>
          <w:tcPr>
            <w:tcW w:w="611"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cs="Times New Roman"/>
                <w:color w:val="auto"/>
                <w:highlight w:val="none"/>
              </w:rPr>
              <w:t>氮氧化物监测装置</w:t>
            </w:r>
          </w:p>
        </w:tc>
        <w:tc>
          <w:tcPr>
            <w:tcW w:w="1068" w:type="pc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2AT-TETN-001OG</w:t>
            </w:r>
          </w:p>
        </w:tc>
        <w:tc>
          <w:tcPr>
            <w:tcW w:w="38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台</w:t>
            </w:r>
          </w:p>
        </w:tc>
        <w:tc>
          <w:tcPr>
            <w:tcW w:w="992" w:type="pct"/>
            <w:tcBorders>
              <w:top w:val="nil"/>
              <w:left w:val="nil"/>
              <w:bottom w:val="single" w:color="auto" w:sz="4" w:space="0"/>
              <w:right w:val="single" w:color="auto" w:sz="4" w:space="0"/>
            </w:tcBorders>
            <w:shd w:val="clear" w:color="auto" w:fill="auto"/>
            <w:vAlign w:val="center"/>
          </w:tcPr>
          <w:p>
            <w:pPr>
              <w:jc w:val="center"/>
              <w:rPr>
                <w:rFonts w:ascii="Times New Roman" w:cs="Times New Roman"/>
                <w:color w:val="auto"/>
                <w:highlight w:val="none"/>
              </w:rPr>
            </w:pPr>
            <w:r>
              <w:rPr>
                <w:rFonts w:ascii="Times New Roman" w:cs="Times New Roman"/>
                <w:color w:val="auto"/>
                <w:highlight w:val="none"/>
              </w:rPr>
              <w:t>测量范围：</w:t>
            </w:r>
          </w:p>
          <w:p>
            <w:pPr>
              <w:jc w:val="center"/>
              <w:rPr>
                <w:rFonts w:ascii="Times New Roman" w:hAnsi="Times New Roman" w:cs="Times New Roman"/>
                <w:color w:val="auto"/>
                <w:highlight w:val="none"/>
              </w:rPr>
            </w:pPr>
            <w:r>
              <w:rPr>
                <w:rFonts w:ascii="Times New Roman" w:hAnsi="Times New Roman" w:cs="Times New Roman"/>
                <w:color w:val="auto"/>
                <w:highlight w:val="none"/>
              </w:rPr>
              <w:t>0~ 300 g/m</w:t>
            </w:r>
            <w:r>
              <w:rPr>
                <w:rFonts w:ascii="Times New Roman" w:hAnsi="Times New Roman" w:cs="Times New Roman"/>
                <w:color w:val="auto"/>
                <w:highlight w:val="none"/>
                <w:vertAlign w:val="superscript"/>
              </w:rPr>
              <w:t>3</w:t>
            </w:r>
          </w:p>
        </w:tc>
        <w:tc>
          <w:tcPr>
            <w:tcW w:w="45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NR</w:t>
            </w:r>
          </w:p>
        </w:tc>
        <w:tc>
          <w:tcPr>
            <w:tcW w:w="459"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NA</w:t>
            </w:r>
          </w:p>
        </w:tc>
        <w:tc>
          <w:tcPr>
            <w:tcW w:w="43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QAN</w:t>
            </w:r>
          </w:p>
        </w:tc>
      </w:tr>
      <w:tr>
        <w:tblPrEx>
          <w:tblCellMar>
            <w:top w:w="0" w:type="dxa"/>
            <w:left w:w="108" w:type="dxa"/>
            <w:bottom w:w="0" w:type="dxa"/>
            <w:right w:w="108" w:type="dxa"/>
          </w:tblCellMar>
        </w:tblPrEx>
        <w:trPr>
          <w:trHeight w:val="20" w:hRule="atLeast"/>
          <w:jc w:val="center"/>
        </w:trPr>
        <w:tc>
          <w:tcPr>
            <w:tcW w:w="28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3</w:t>
            </w:r>
          </w:p>
        </w:tc>
        <w:tc>
          <w:tcPr>
            <w:tcW w:w="611"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cs="Times New Roman"/>
                <w:color w:val="auto"/>
                <w:highlight w:val="none"/>
              </w:rPr>
              <w:t>氮氧化物监测装置</w:t>
            </w:r>
          </w:p>
        </w:tc>
        <w:tc>
          <w:tcPr>
            <w:tcW w:w="1068" w:type="pc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2AT-TETN-002OG</w:t>
            </w:r>
          </w:p>
        </w:tc>
        <w:tc>
          <w:tcPr>
            <w:tcW w:w="38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台</w:t>
            </w:r>
          </w:p>
        </w:tc>
        <w:tc>
          <w:tcPr>
            <w:tcW w:w="992" w:type="pct"/>
            <w:tcBorders>
              <w:top w:val="nil"/>
              <w:left w:val="nil"/>
              <w:bottom w:val="single" w:color="auto" w:sz="4" w:space="0"/>
              <w:right w:val="single" w:color="auto" w:sz="4" w:space="0"/>
            </w:tcBorders>
            <w:shd w:val="clear" w:color="auto" w:fill="auto"/>
            <w:vAlign w:val="center"/>
          </w:tcPr>
          <w:p>
            <w:pPr>
              <w:jc w:val="center"/>
              <w:rPr>
                <w:rFonts w:ascii="Times New Roman" w:cs="Times New Roman"/>
                <w:color w:val="auto"/>
                <w:highlight w:val="none"/>
              </w:rPr>
            </w:pPr>
            <w:r>
              <w:rPr>
                <w:rFonts w:ascii="Times New Roman" w:cs="Times New Roman"/>
                <w:color w:val="auto"/>
                <w:highlight w:val="none"/>
              </w:rPr>
              <w:t>测量范围：</w:t>
            </w:r>
          </w:p>
          <w:p>
            <w:pPr>
              <w:jc w:val="center"/>
              <w:rPr>
                <w:rFonts w:ascii="Times New Roman" w:hAnsi="Times New Roman" w:cs="Times New Roman"/>
                <w:color w:val="auto"/>
                <w:highlight w:val="none"/>
              </w:rPr>
            </w:pPr>
            <w:r>
              <w:rPr>
                <w:rFonts w:ascii="Times New Roman" w:hAnsi="Times New Roman" w:cs="Times New Roman"/>
                <w:color w:val="auto"/>
                <w:highlight w:val="none"/>
              </w:rPr>
              <w:t>0~ 3000 mg/m</w:t>
            </w:r>
            <w:r>
              <w:rPr>
                <w:rFonts w:ascii="Times New Roman" w:hAnsi="Times New Roman" w:cs="Times New Roman"/>
                <w:color w:val="auto"/>
                <w:highlight w:val="none"/>
                <w:vertAlign w:val="superscript"/>
              </w:rPr>
              <w:t>3</w:t>
            </w:r>
          </w:p>
        </w:tc>
        <w:tc>
          <w:tcPr>
            <w:tcW w:w="45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NR</w:t>
            </w:r>
          </w:p>
        </w:tc>
        <w:tc>
          <w:tcPr>
            <w:tcW w:w="459"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NA</w:t>
            </w:r>
          </w:p>
        </w:tc>
        <w:tc>
          <w:tcPr>
            <w:tcW w:w="43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QAN</w:t>
            </w:r>
          </w:p>
        </w:tc>
      </w:tr>
      <w:tr>
        <w:tblPrEx>
          <w:tblCellMar>
            <w:top w:w="0" w:type="dxa"/>
            <w:left w:w="108" w:type="dxa"/>
            <w:bottom w:w="0" w:type="dxa"/>
            <w:right w:w="108" w:type="dxa"/>
          </w:tblCellMar>
        </w:tblPrEx>
        <w:trPr>
          <w:trHeight w:val="20" w:hRule="atLeast"/>
          <w:jc w:val="center"/>
        </w:trPr>
        <w:tc>
          <w:tcPr>
            <w:tcW w:w="28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4</w:t>
            </w:r>
          </w:p>
        </w:tc>
        <w:tc>
          <w:tcPr>
            <w:tcW w:w="611"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cs="Times New Roman"/>
                <w:color w:val="auto"/>
                <w:highlight w:val="none"/>
              </w:rPr>
              <w:t>氮氧化物监测装置</w:t>
            </w:r>
          </w:p>
        </w:tc>
        <w:tc>
          <w:tcPr>
            <w:tcW w:w="1068" w:type="pc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2AT-TETN-014OG</w:t>
            </w:r>
          </w:p>
        </w:tc>
        <w:tc>
          <w:tcPr>
            <w:tcW w:w="38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3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highlight w:val="none"/>
              </w:rPr>
            </w:pPr>
            <w:r>
              <w:rPr>
                <w:rFonts w:ascii="Times New Roman" w:hAnsi="Times New Roman" w:cs="Times New Roman"/>
                <w:color w:val="auto"/>
                <w:highlight w:val="none"/>
              </w:rPr>
              <w:t>台</w:t>
            </w:r>
          </w:p>
        </w:tc>
        <w:tc>
          <w:tcPr>
            <w:tcW w:w="992"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cs="Times New Roman"/>
                <w:color w:val="auto"/>
                <w:highlight w:val="none"/>
              </w:rPr>
              <w:t>测量范围：</w:t>
            </w:r>
            <w:r>
              <w:rPr>
                <w:rFonts w:ascii="Times New Roman" w:hAnsi="Times New Roman" w:cs="Times New Roman"/>
                <w:color w:val="auto"/>
                <w:highlight w:val="none"/>
              </w:rPr>
              <w:t xml:space="preserve"> </w:t>
            </w:r>
          </w:p>
          <w:p>
            <w:pPr>
              <w:jc w:val="center"/>
              <w:rPr>
                <w:rFonts w:ascii="Times New Roman" w:hAnsi="Times New Roman" w:cs="Times New Roman"/>
                <w:color w:val="auto"/>
                <w:highlight w:val="none"/>
              </w:rPr>
            </w:pPr>
            <w:r>
              <w:rPr>
                <w:rFonts w:ascii="Times New Roman" w:hAnsi="Times New Roman" w:cs="Times New Roman"/>
                <w:color w:val="auto"/>
                <w:highlight w:val="none"/>
              </w:rPr>
              <w:t>0~ 3000 mg/m</w:t>
            </w:r>
            <w:r>
              <w:rPr>
                <w:rFonts w:ascii="Times New Roman" w:hAnsi="Times New Roman" w:cs="Times New Roman"/>
                <w:color w:val="auto"/>
                <w:highlight w:val="none"/>
                <w:vertAlign w:val="superscript"/>
              </w:rPr>
              <w:t>3</w:t>
            </w:r>
          </w:p>
        </w:tc>
        <w:tc>
          <w:tcPr>
            <w:tcW w:w="45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NR</w:t>
            </w:r>
          </w:p>
        </w:tc>
        <w:tc>
          <w:tcPr>
            <w:tcW w:w="459"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NA</w:t>
            </w:r>
          </w:p>
        </w:tc>
        <w:tc>
          <w:tcPr>
            <w:tcW w:w="438" w:type="pct"/>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auto"/>
                <w:highlight w:val="none"/>
              </w:rPr>
            </w:pPr>
            <w:r>
              <w:rPr>
                <w:rFonts w:ascii="Times New Roman" w:hAnsi="Times New Roman" w:cs="Times New Roman"/>
                <w:color w:val="auto"/>
                <w:highlight w:val="none"/>
              </w:rPr>
              <w:t>QAN</w:t>
            </w:r>
          </w:p>
        </w:tc>
      </w:tr>
      <w:tr>
        <w:tblPrEx>
          <w:tblCellMar>
            <w:top w:w="0" w:type="dxa"/>
            <w:left w:w="108" w:type="dxa"/>
            <w:bottom w:w="0" w:type="dxa"/>
            <w:right w:w="108" w:type="dxa"/>
          </w:tblCellMar>
        </w:tblPrEx>
        <w:trPr>
          <w:trHeight w:val="20" w:hRule="atLeast"/>
          <w:jc w:val="center"/>
        </w:trPr>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合计</w:t>
            </w:r>
          </w:p>
        </w:tc>
        <w:tc>
          <w:tcPr>
            <w:tcW w:w="6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p>
        </w:tc>
        <w:tc>
          <w:tcPr>
            <w:tcW w:w="1068"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auto"/>
                <w:kern w:val="0"/>
                <w:highlight w:val="none"/>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4</w:t>
            </w:r>
          </w:p>
        </w:tc>
        <w:tc>
          <w:tcPr>
            <w:tcW w:w="3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r>
              <w:rPr>
                <w:rFonts w:hint="eastAsia" w:ascii="Times New Roman" w:hAnsi="Times New Roman" w:cs="Times New Roman"/>
                <w:color w:val="auto"/>
                <w:kern w:val="0"/>
                <w:highlight w:val="none"/>
              </w:rPr>
              <w:t>台</w:t>
            </w:r>
          </w:p>
        </w:tc>
        <w:tc>
          <w:tcPr>
            <w:tcW w:w="9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p>
        </w:tc>
        <w:tc>
          <w:tcPr>
            <w:tcW w:w="4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p>
        </w:tc>
        <w:tc>
          <w:tcPr>
            <w:tcW w:w="4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auto"/>
                <w:kern w:val="0"/>
                <w:highlight w:val="none"/>
              </w:rPr>
            </w:pPr>
          </w:p>
        </w:tc>
      </w:tr>
    </w:tbl>
    <w:p>
      <w:pPr>
        <w:pStyle w:val="13"/>
        <w:numPr>
          <w:ilvl w:val="0"/>
          <w:numId w:val="0"/>
        </w:numPr>
        <w:spacing w:before="31" w:after="31"/>
        <w:ind w:left="339" w:leftChars="150" w:hanging="24" w:hangingChars="10"/>
        <w:rPr>
          <w:rFonts w:ascii="宋体" w:hAnsi="宋体" w:eastAsia="宋体" w:cs="宋体"/>
          <w:b w:val="0"/>
          <w:color w:val="auto"/>
          <w:highlight w:val="none"/>
          <w:u w:val="single"/>
        </w:rPr>
      </w:pPr>
      <w:r>
        <w:rPr>
          <w:rFonts w:hint="eastAsia" w:ascii="宋体" w:hAnsi="宋体" w:eastAsia="宋体" w:cs="宋体"/>
          <w:b w:val="0"/>
          <w:color w:val="auto"/>
          <w:highlight w:val="none"/>
        </w:rPr>
        <w:t>设备技术规格要求：</w:t>
      </w:r>
      <w:r>
        <w:rPr>
          <w:rFonts w:hint="eastAsia" w:ascii="宋体" w:hAnsi="宋体" w:eastAsia="宋体" w:cs="宋体"/>
          <w:b w:val="0"/>
          <w:color w:val="auto"/>
          <w:highlight w:val="none"/>
          <w:u w:val="single"/>
        </w:rPr>
        <w:t>氮氧化物监测装置应采用紫外荧光法原理实现,放化等级NR，抗震等级NA，质保等级QAN, 具体要求详见技术规格书</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交货时间：</w:t>
      </w:r>
      <w:r>
        <w:rPr>
          <w:rFonts w:hint="eastAsia" w:ascii="宋体" w:hAnsi="宋体" w:eastAsia="宋体" w:cs="宋体"/>
          <w:b w:val="0"/>
          <w:color w:val="auto"/>
          <w:highlight w:val="none"/>
          <w:u w:val="single"/>
        </w:rPr>
        <w:t>2023-3-16</w:t>
      </w:r>
      <w:r>
        <w:rPr>
          <w:rFonts w:hint="eastAsia" w:ascii="宋体" w:hAnsi="宋体" w:eastAsia="宋体" w:cs="宋体"/>
          <w:b w:val="0"/>
          <w:color w:val="auto"/>
          <w:highlight w:val="none"/>
        </w:rPr>
        <w:t xml:space="preserve"> </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交货地点：</w:t>
      </w:r>
      <w:r>
        <w:rPr>
          <w:rFonts w:hint="eastAsia" w:ascii="宋体" w:hAnsi="宋体" w:eastAsia="宋体" w:cs="宋体"/>
          <w:b w:val="0"/>
          <w:color w:val="auto"/>
          <w:highlight w:val="none"/>
          <w:u w:val="single"/>
        </w:rPr>
        <w:t>DDP现场指定地点交货</w:t>
      </w:r>
    </w:p>
    <w:p>
      <w:pPr>
        <w:pStyle w:val="13"/>
        <w:numPr>
          <w:ilvl w:val="1"/>
          <w:numId w:val="5"/>
        </w:numPr>
        <w:spacing w:before="31" w:after="31"/>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最高投标限价：</w:t>
      </w:r>
      <w:r>
        <w:rPr>
          <w:rFonts w:hint="eastAsia" w:ascii="宋体" w:hAnsi="宋体" w:eastAsia="宋体" w:cs="宋体"/>
          <w:b w:val="0"/>
          <w:color w:val="auto"/>
          <w:highlight w:val="none"/>
          <w:u w:val="single"/>
        </w:rPr>
        <w:t>154万元人民币</w:t>
      </w:r>
    </w:p>
    <w:p>
      <w:pPr>
        <w:pStyle w:val="5"/>
        <w:numPr>
          <w:ilvl w:val="0"/>
          <w:numId w:val="4"/>
        </w:numPr>
        <w:spacing w:before="31" w:after="31"/>
        <w:rPr>
          <w:rFonts w:ascii="宋体" w:hAnsi="宋体" w:cs="宋体"/>
          <w:color w:val="auto"/>
          <w:highlight w:val="none"/>
        </w:rPr>
      </w:pPr>
      <w:bookmarkStart w:id="4" w:name="_Toc6513"/>
      <w:bookmarkStart w:id="5" w:name="_Toc70508106"/>
      <w:r>
        <w:rPr>
          <w:rStyle w:val="7"/>
          <w:rFonts w:hint="eastAsia" w:ascii="宋体" w:hAnsi="宋体" w:cs="宋体"/>
          <w:b w:val="0"/>
          <w:bCs w:val="0"/>
          <w:color w:val="auto"/>
          <w:highlight w:val="none"/>
        </w:rPr>
        <w:t>投标人资格要求</w:t>
      </w:r>
      <w:bookmarkEnd w:id="4"/>
      <w:bookmarkEnd w:id="5"/>
    </w:p>
    <w:p>
      <w:pPr>
        <w:pStyle w:val="13"/>
        <w:numPr>
          <w:ilvl w:val="1"/>
          <w:numId w:val="4"/>
        </w:numPr>
        <w:rPr>
          <w:rFonts w:ascii="宋体" w:hAnsi="宋体" w:eastAsia="宋体" w:cs="宋体"/>
          <w:b w:val="0"/>
          <w:color w:val="auto"/>
          <w:highlight w:val="none"/>
        </w:rPr>
      </w:pPr>
      <w:r>
        <w:rPr>
          <w:rFonts w:hint="eastAsia" w:ascii="宋体" w:hAnsi="宋体" w:eastAsia="宋体" w:cs="宋体"/>
          <w:b w:val="0"/>
          <w:color w:val="auto"/>
          <w:highlight w:val="none"/>
        </w:rPr>
        <w:t>在中华人民共和国境内拥有合法经营权力，具有独立的法人资格，符合国家有关规定，有资格和能力在国内完成本招标货物供货及相关服务。</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投标人应遵守中华人民共和国法律、法规。</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投标人必须具有履行合同所必要的财务、技术、设计和制造/采购能力，并满足下列要求：</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投标人或其代理制造商经第三方认证且在有效期内的质量体系认证证书。</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投标人不得处于破产、停业、财产被接收或冻结等任何不利于合同目的实现的情形。</w:t>
      </w:r>
    </w:p>
    <w:p>
      <w:pPr>
        <w:pStyle w:val="14"/>
        <w:numPr>
          <w:ilvl w:val="1"/>
          <w:numId w:val="5"/>
        </w:numPr>
        <w:spacing w:before="31" w:after="31"/>
        <w:ind w:left="384" w:hanging="384" w:hangingChars="160"/>
        <w:rPr>
          <w:rFonts w:ascii="宋体" w:hAnsi="宋体" w:eastAsia="宋体" w:cs="宋体"/>
          <w:color w:val="auto"/>
          <w:highlight w:val="none"/>
        </w:rPr>
      </w:pPr>
      <w:r>
        <w:rPr>
          <w:rFonts w:hint="eastAsia" w:ascii="宋体" w:hAnsi="宋体" w:eastAsia="宋体" w:cs="宋体"/>
          <w:color w:val="auto"/>
          <w:highlight w:val="none"/>
        </w:rPr>
        <w:t>不接受联合体投标。</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接受代理商投标。代理商投标的必须取得所代理制造商为本招标项目氮氧化物监测装置出具的销售授权文件。</w:t>
      </w:r>
    </w:p>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一个制造商对同一品牌同一型号的设备，仅能委托一个代理商参加投标，否则相关投标均无效。</w:t>
      </w:r>
    </w:p>
    <w:p>
      <w:pPr>
        <w:pStyle w:val="5"/>
        <w:numPr>
          <w:ilvl w:val="0"/>
          <w:numId w:val="4"/>
        </w:numPr>
        <w:spacing w:before="31" w:after="31"/>
        <w:rPr>
          <w:rStyle w:val="7"/>
          <w:rFonts w:ascii="宋体" w:hAnsi="宋体" w:cs="宋体"/>
          <w:b w:val="0"/>
          <w:bCs w:val="0"/>
          <w:color w:val="auto"/>
          <w:highlight w:val="none"/>
        </w:rPr>
      </w:pPr>
      <w:bookmarkStart w:id="6" w:name="_Toc70508107"/>
      <w:bookmarkStart w:id="7" w:name="_Toc7409"/>
      <w:r>
        <w:rPr>
          <w:rStyle w:val="7"/>
          <w:rFonts w:hint="eastAsia" w:ascii="宋体" w:hAnsi="宋体" w:cs="宋体"/>
          <w:b w:val="0"/>
          <w:bCs w:val="0"/>
          <w:color w:val="auto"/>
          <w:highlight w:val="none"/>
        </w:rPr>
        <w:t>招标文件的获取</w:t>
      </w:r>
      <w:bookmarkEnd w:id="6"/>
      <w:r>
        <w:rPr>
          <w:rStyle w:val="7"/>
          <w:rFonts w:hint="eastAsia" w:ascii="宋体" w:hAnsi="宋体" w:cs="宋体"/>
          <w:b w:val="0"/>
          <w:bCs w:val="0"/>
          <w:color w:val="auto"/>
          <w:highlight w:val="none"/>
        </w:rPr>
        <w:t xml:space="preserve"> </w:t>
      </w:r>
    </w:p>
    <w:bookmarkEnd w:id="7"/>
    <w:p>
      <w:pPr>
        <w:pStyle w:val="6"/>
        <w:spacing w:line="360" w:lineRule="auto"/>
        <w:outlineLvl w:val="0"/>
        <w:rPr>
          <w:rFonts w:ascii="宋体" w:hAnsi="宋体" w:cs="宋体"/>
          <w:b/>
          <w:color w:val="auto"/>
          <w:highlight w:val="none"/>
        </w:rPr>
      </w:pPr>
      <w:r>
        <w:rPr>
          <w:rFonts w:hint="eastAsia" w:ascii="宋体" w:hAnsi="宋体" w:cs="宋体"/>
          <w:color w:val="auto"/>
          <w:highlight w:val="none"/>
        </w:rPr>
        <w:t>发售时间：</w:t>
      </w:r>
      <w:r>
        <w:rPr>
          <w:rFonts w:hint="eastAsia" w:ascii="宋体" w:hAnsi="宋体" w:cs="宋体"/>
          <w:color w:val="auto"/>
          <w:highlight w:val="none"/>
          <w:u w:val="single"/>
        </w:rPr>
        <w:t>2022年02月2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日09时00分—2022年03月0</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日16时00分（北京时间）。</w:t>
      </w:r>
    </w:p>
    <w:p>
      <w:pPr>
        <w:pStyle w:val="13"/>
        <w:numPr>
          <w:ilvl w:val="1"/>
          <w:numId w:val="5"/>
        </w:numPr>
        <w:rPr>
          <w:rFonts w:ascii="宋体" w:hAnsi="宋体" w:eastAsia="宋体" w:cs="宋体"/>
          <w:b w:val="0"/>
          <w:color w:val="auto"/>
          <w:highlight w:val="none"/>
        </w:rPr>
      </w:pPr>
      <w:r>
        <w:rPr>
          <w:rFonts w:hint="eastAsia" w:ascii="宋体" w:hAnsi="宋体" w:eastAsia="宋体" w:cs="宋体"/>
          <w:b w:val="0"/>
          <w:color w:val="auto"/>
          <w:highlight w:val="none"/>
        </w:rPr>
        <w:t>电子版招标文件将在中核集团电子采购平台（https://www.cnncecp.com）进行发布。请投标人于招标文件发售截止时间前完成在中核集团电子采购平台（https://www.cnncecp.com）在线注册，并交纳标书款，上传标书款汇款电子回单、营业执照及投标保密承诺函（格式见主页搜索栏）签字盖章文件的扫描件（以上文件需连续扫描为一个PDF文件后上传），点击项目报名。报名文件经招标代理机构审核通过后方可下载招标文件。</w:t>
      </w:r>
    </w:p>
    <w:p>
      <w:pPr>
        <w:pStyle w:val="13"/>
        <w:numPr>
          <w:ilvl w:val="1"/>
          <w:numId w:val="5"/>
        </w:numPr>
        <w:rPr>
          <w:rFonts w:ascii="宋体" w:hAnsi="宋体" w:eastAsia="宋体" w:cs="宋体"/>
          <w:b w:val="0"/>
          <w:color w:val="auto"/>
          <w:highlight w:val="none"/>
        </w:rPr>
      </w:pPr>
      <w:r>
        <w:rPr>
          <w:rFonts w:hint="eastAsia" w:ascii="宋体" w:hAnsi="宋体" w:eastAsia="宋体" w:cs="宋体"/>
          <w:b w:val="0"/>
          <w:color w:val="auto"/>
          <w:highlight w:val="none"/>
        </w:rPr>
        <w:t>招标文件每套售价</w:t>
      </w:r>
      <w:r>
        <w:rPr>
          <w:rFonts w:hint="eastAsia" w:ascii="宋体" w:hAnsi="宋体" w:eastAsia="宋体" w:cs="宋体"/>
          <w:b w:val="0"/>
          <w:color w:val="auto"/>
          <w:highlight w:val="none"/>
          <w:u w:val="single"/>
        </w:rPr>
        <w:t>800</w:t>
      </w:r>
      <w:r>
        <w:rPr>
          <w:rFonts w:hint="eastAsia" w:ascii="宋体" w:hAnsi="宋体" w:eastAsia="宋体" w:cs="宋体"/>
          <w:b w:val="0"/>
          <w:color w:val="auto"/>
          <w:highlight w:val="none"/>
        </w:rPr>
        <w:t xml:space="preserve">元，售后不退。 </w:t>
      </w:r>
    </w:p>
    <w:p>
      <w:pPr>
        <w:pStyle w:val="13"/>
        <w:numPr>
          <w:ilvl w:val="0"/>
          <w:numId w:val="0"/>
        </w:numPr>
        <w:ind w:left="384"/>
        <w:rPr>
          <w:rFonts w:ascii="宋体" w:hAnsi="宋体" w:eastAsia="宋体" w:cs="宋体"/>
          <w:b w:val="0"/>
          <w:color w:val="auto"/>
          <w:highlight w:val="none"/>
        </w:rPr>
      </w:pPr>
      <w:r>
        <w:rPr>
          <w:rFonts w:hint="eastAsia" w:ascii="宋体" w:hAnsi="宋体" w:eastAsia="宋体" w:cs="宋体"/>
          <w:b w:val="0"/>
          <w:color w:val="auto"/>
          <w:highlight w:val="none"/>
        </w:rPr>
        <w:t>公司名称：北京国科军友工程咨询有限公司</w:t>
      </w:r>
    </w:p>
    <w:p>
      <w:pPr>
        <w:pStyle w:val="13"/>
        <w:numPr>
          <w:ilvl w:val="0"/>
          <w:numId w:val="0"/>
        </w:numPr>
        <w:ind w:left="384"/>
        <w:rPr>
          <w:rFonts w:ascii="宋体" w:hAnsi="宋体" w:eastAsia="宋体" w:cs="宋体"/>
          <w:b w:val="0"/>
          <w:color w:val="auto"/>
          <w:highlight w:val="none"/>
        </w:rPr>
      </w:pPr>
      <w:r>
        <w:rPr>
          <w:rFonts w:hint="eastAsia" w:ascii="宋体" w:hAnsi="宋体" w:eastAsia="宋体" w:cs="宋体"/>
          <w:b w:val="0"/>
          <w:color w:val="auto"/>
          <w:highlight w:val="none"/>
        </w:rPr>
        <w:t>开户银行：工商银行北京长安支行</w:t>
      </w:r>
    </w:p>
    <w:p>
      <w:pPr>
        <w:pStyle w:val="13"/>
        <w:numPr>
          <w:ilvl w:val="0"/>
          <w:numId w:val="0"/>
        </w:numPr>
        <w:ind w:left="384"/>
        <w:rPr>
          <w:rFonts w:ascii="宋体" w:hAnsi="宋体" w:eastAsia="宋体" w:cs="宋体"/>
          <w:b w:val="0"/>
          <w:color w:val="auto"/>
          <w:highlight w:val="none"/>
        </w:rPr>
      </w:pPr>
      <w:r>
        <w:rPr>
          <w:rFonts w:hint="eastAsia" w:ascii="宋体" w:hAnsi="宋体" w:eastAsia="宋体" w:cs="宋体"/>
          <w:b w:val="0"/>
          <w:color w:val="auto"/>
          <w:highlight w:val="none"/>
        </w:rPr>
        <w:t>银行账户：0200003309004742978</w:t>
      </w:r>
    </w:p>
    <w:p>
      <w:pPr>
        <w:pStyle w:val="13"/>
        <w:numPr>
          <w:ilvl w:val="0"/>
          <w:numId w:val="0"/>
        </w:numPr>
        <w:ind w:left="384"/>
        <w:rPr>
          <w:rFonts w:ascii="宋体" w:hAnsi="宋体" w:eastAsia="宋体" w:cs="宋体"/>
          <w:b w:val="0"/>
          <w:color w:val="auto"/>
          <w:highlight w:val="none"/>
        </w:rPr>
      </w:pPr>
      <w:bookmarkStart w:id="8" w:name="_Toc1746"/>
      <w:r>
        <w:rPr>
          <w:rFonts w:hint="eastAsia" w:ascii="宋体" w:hAnsi="宋体" w:eastAsia="宋体" w:cs="宋体"/>
          <w:b w:val="0"/>
          <w:color w:val="auto"/>
          <w:highlight w:val="none"/>
        </w:rPr>
        <w:t>投标人须在汇款单上注明：“</w:t>
      </w:r>
      <w:r>
        <w:rPr>
          <w:rFonts w:hint="eastAsia" w:ascii="宋体" w:hAnsi="宋体" w:eastAsia="宋体" w:cs="宋体"/>
          <w:b w:val="0"/>
          <w:color w:val="auto"/>
          <w:highlight w:val="none"/>
          <w:u w:val="single"/>
        </w:rPr>
        <w:t>R2项目氮氧化物监测装置设备</w:t>
      </w:r>
      <w:r>
        <w:rPr>
          <w:rFonts w:hint="eastAsia" w:ascii="宋体" w:hAnsi="宋体" w:eastAsia="宋体" w:cs="宋体"/>
          <w:b w:val="0"/>
          <w:color w:val="auto"/>
          <w:highlight w:val="none"/>
        </w:rPr>
        <w:t>购标款（投标人名称+纳税人识别号）”</w:t>
      </w:r>
      <w:bookmarkEnd w:id="8"/>
    </w:p>
    <w:p>
      <w:pPr>
        <w:pStyle w:val="13"/>
        <w:numPr>
          <w:ilvl w:val="0"/>
          <w:numId w:val="0"/>
        </w:numPr>
        <w:ind w:left="384"/>
        <w:rPr>
          <w:rFonts w:ascii="宋体" w:hAnsi="宋体" w:eastAsia="宋体" w:cs="宋体"/>
          <w:b w:val="0"/>
          <w:color w:val="auto"/>
          <w:highlight w:val="none"/>
        </w:rPr>
      </w:pPr>
      <w:bookmarkStart w:id="9" w:name="_Toc8577"/>
      <w:r>
        <w:rPr>
          <w:rFonts w:hint="eastAsia" w:ascii="宋体" w:hAnsi="宋体" w:eastAsia="宋体" w:cs="宋体"/>
          <w:b w:val="0"/>
          <w:color w:val="auto"/>
          <w:highlight w:val="none"/>
        </w:rPr>
        <w:t>注：原则上标书款只接受公司账户汇款，如以个人账户名义汇款，我司只能开具个人名字抬头的标书款发票。</w:t>
      </w:r>
      <w:bookmarkEnd w:id="9"/>
    </w:p>
    <w:p>
      <w:pPr>
        <w:pStyle w:val="5"/>
        <w:numPr>
          <w:ilvl w:val="0"/>
          <w:numId w:val="4"/>
        </w:numPr>
        <w:spacing w:before="31" w:after="31"/>
        <w:rPr>
          <w:rStyle w:val="7"/>
          <w:rFonts w:ascii="宋体" w:hAnsi="宋体" w:cs="宋体"/>
          <w:b w:val="0"/>
          <w:bCs w:val="0"/>
          <w:color w:val="auto"/>
          <w:highlight w:val="none"/>
        </w:rPr>
      </w:pPr>
      <w:bookmarkStart w:id="10" w:name="_Toc70508108"/>
      <w:bookmarkStart w:id="11" w:name="_Toc473"/>
      <w:r>
        <w:rPr>
          <w:rStyle w:val="7"/>
          <w:rFonts w:hint="eastAsia" w:ascii="宋体" w:hAnsi="宋体" w:cs="宋体"/>
          <w:b w:val="0"/>
          <w:bCs w:val="0"/>
          <w:color w:val="auto"/>
          <w:highlight w:val="none"/>
        </w:rPr>
        <w:t>投标文件的递交</w:t>
      </w:r>
      <w:bookmarkEnd w:id="10"/>
      <w:r>
        <w:rPr>
          <w:rStyle w:val="7"/>
          <w:rFonts w:hint="eastAsia" w:ascii="宋体" w:hAnsi="宋体" w:cs="宋体"/>
          <w:b w:val="0"/>
          <w:bCs w:val="0"/>
          <w:color w:val="auto"/>
          <w:highlight w:val="none"/>
        </w:rPr>
        <w:t xml:space="preserve"> </w:t>
      </w:r>
    </w:p>
    <w:bookmarkEnd w:id="11"/>
    <w:p>
      <w:pPr>
        <w:pStyle w:val="13"/>
        <w:numPr>
          <w:ilvl w:val="1"/>
          <w:numId w:val="6"/>
        </w:numPr>
        <w:rPr>
          <w:rFonts w:ascii="宋体" w:hAnsi="宋体" w:eastAsia="宋体" w:cs="宋体"/>
          <w:b w:val="0"/>
          <w:color w:val="auto"/>
          <w:highlight w:val="none"/>
        </w:rPr>
      </w:pPr>
      <w:bookmarkStart w:id="12" w:name="_Toc25436"/>
      <w:bookmarkStart w:id="13" w:name="_Toc1308"/>
      <w:r>
        <w:rPr>
          <w:rFonts w:hint="eastAsia" w:ascii="宋体" w:hAnsi="宋体" w:eastAsia="宋体" w:cs="宋体"/>
          <w:b w:val="0"/>
          <w:color w:val="auto"/>
          <w:highlight w:val="none"/>
        </w:rPr>
        <w:t>投标文件递交的截止时间（投标截止时间，下同）为</w:t>
      </w:r>
      <w:r>
        <w:rPr>
          <w:rFonts w:hint="eastAsia" w:ascii="宋体" w:hAnsi="宋体" w:eastAsia="宋体" w:cs="宋体"/>
          <w:b w:val="0"/>
          <w:color w:val="auto"/>
          <w:highlight w:val="none"/>
          <w:u w:val="single"/>
        </w:rPr>
        <w:t>2022年03月2</w:t>
      </w:r>
      <w:r>
        <w:rPr>
          <w:rFonts w:hint="eastAsia" w:ascii="宋体" w:hAnsi="宋体" w:eastAsia="宋体" w:cs="宋体"/>
          <w:b w:val="0"/>
          <w:color w:val="auto"/>
          <w:highlight w:val="none"/>
          <w:u w:val="single"/>
          <w:lang w:val="en-US" w:eastAsia="zh-CN"/>
        </w:rPr>
        <w:t>3</w:t>
      </w:r>
      <w:r>
        <w:rPr>
          <w:rFonts w:hint="eastAsia" w:ascii="宋体" w:hAnsi="宋体" w:eastAsia="宋体" w:cs="宋体"/>
          <w:b w:val="0"/>
          <w:color w:val="auto"/>
          <w:highlight w:val="none"/>
          <w:u w:val="single"/>
        </w:rPr>
        <w:t>日09时00分</w:t>
      </w:r>
      <w:r>
        <w:rPr>
          <w:rFonts w:hint="eastAsia" w:ascii="宋体" w:hAnsi="宋体" w:eastAsia="宋体" w:cs="宋体"/>
          <w:b w:val="0"/>
          <w:color w:val="auto"/>
          <w:highlight w:val="none"/>
        </w:rPr>
        <w:t>。</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投标文件递交的地点（同邮寄地点）为</w:t>
      </w:r>
      <w:r>
        <w:rPr>
          <w:rFonts w:hint="eastAsia" w:ascii="宋体" w:hAnsi="宋体" w:eastAsia="宋体" w:cs="宋体"/>
          <w:b w:val="0"/>
          <w:color w:val="auto"/>
          <w:highlight w:val="none"/>
          <w:u w:val="single"/>
        </w:rPr>
        <w:t>北京市海淀区中关村南大街36号湖北大厦4层会议室</w:t>
      </w:r>
      <w:r>
        <w:rPr>
          <w:rFonts w:hint="eastAsia" w:ascii="宋体" w:hAnsi="宋体" w:eastAsia="宋体" w:cs="宋体"/>
          <w:b w:val="0"/>
          <w:color w:val="auto"/>
          <w:highlight w:val="none"/>
        </w:rPr>
        <w:t>。</w:t>
      </w:r>
      <w:bookmarkEnd w:id="12"/>
    </w:p>
    <w:p>
      <w:pPr>
        <w:pStyle w:val="13"/>
        <w:numPr>
          <w:ilvl w:val="1"/>
          <w:numId w:val="6"/>
        </w:numPr>
        <w:rPr>
          <w:rFonts w:ascii="宋体" w:hAnsi="宋体" w:eastAsia="宋体" w:cs="宋体"/>
          <w:b w:val="0"/>
          <w:color w:val="auto"/>
          <w:highlight w:val="none"/>
        </w:rPr>
      </w:pPr>
      <w:bookmarkStart w:id="14" w:name="_Toc22755"/>
      <w:r>
        <w:rPr>
          <w:rFonts w:hint="eastAsia" w:ascii="宋体" w:hAnsi="宋体" w:eastAsia="宋体" w:cs="宋体"/>
          <w:b w:val="0"/>
          <w:color w:val="auto"/>
          <w:highlight w:val="none"/>
        </w:rPr>
        <w:t>投标文件的递交方式：邮寄递交纸质投标文件</w:t>
      </w:r>
    </w:p>
    <w:p>
      <w:pPr>
        <w:pStyle w:val="13"/>
        <w:numPr>
          <w:ilvl w:val="255"/>
          <w:numId w:val="0"/>
        </w:numPr>
        <w:rPr>
          <w:rFonts w:ascii="宋体" w:hAnsi="宋体" w:eastAsia="宋体" w:cs="宋体"/>
          <w:b w:val="0"/>
          <w:color w:val="auto"/>
          <w:highlight w:val="none"/>
        </w:rPr>
      </w:pPr>
      <w:r>
        <w:rPr>
          <w:rFonts w:hint="eastAsia" w:ascii="宋体" w:hAnsi="宋体" w:eastAsia="宋体" w:cs="宋体"/>
          <w:b w:val="0"/>
          <w:color w:val="auto"/>
          <w:highlight w:val="none"/>
        </w:rPr>
        <w:t>1）邮寄方式递交纸质投标文件：投标人须在投标文件递交截止时间前，将投标文件（一套正本、二套副本、一套投标文件电子版）作为一个快递包裹邮寄到招标代理机构指定地点。逾期送达的、未送达指定地点的或者不按照招标文件要求密封的投标文件，招标人将予以拒收。</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投标人</w:t>
      </w:r>
      <w:r>
        <w:rPr>
          <w:color w:val="auto"/>
          <w:highlight w:val="none"/>
        </w:rPr>
        <w:fldChar w:fldCharType="begin"/>
      </w:r>
      <w:r>
        <w:rPr>
          <w:color w:val="auto"/>
          <w:highlight w:val="none"/>
        </w:rPr>
        <w:instrText xml:space="preserve"> HYPERLINK "mailto:请于快递发出后，将所参与项目名称、投标人名称、法定代表人或其委托代理人（同投标文件中授权委托人）姓名及联系方式、快递公司名称、运单号信息、邮寄递交文件投标承诺书（详见附件）签字盖章后扫描，发送至gkjy_r@163.com邮箱。" </w:instrText>
      </w:r>
      <w:r>
        <w:rPr>
          <w:color w:val="auto"/>
          <w:highlight w:val="none"/>
        </w:rPr>
        <w:fldChar w:fldCharType="separate"/>
      </w:r>
      <w:r>
        <w:rPr>
          <w:rFonts w:hint="eastAsia" w:ascii="宋体" w:hAnsi="宋体" w:eastAsia="宋体" w:cs="宋体"/>
          <w:b w:val="0"/>
          <w:color w:val="auto"/>
          <w:highlight w:val="none"/>
        </w:rPr>
        <w:t>于快递发出后，将所参与项目名称、投标人名称、法定代表人或其委托代理人（同投标文件中授权委托人）姓名及联系方式、快递公司名称、运单号信息、邮寄递交文件投标承诺书（签字盖章后扫描），发送至gkjy_r@163.com邮箱。</w:t>
      </w:r>
      <w:r>
        <w:rPr>
          <w:rFonts w:hint="eastAsia" w:ascii="宋体" w:hAnsi="宋体" w:eastAsia="宋体" w:cs="宋体"/>
          <w:b w:val="0"/>
          <w:color w:val="auto"/>
          <w:highlight w:val="none"/>
        </w:rPr>
        <w:fldChar w:fldCharType="end"/>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邮寄递交纸质版投标文件，以收件人实际收到快递包裹及包裹签收为准。</w:t>
      </w:r>
    </w:p>
    <w:p>
      <w:pPr>
        <w:pStyle w:val="13"/>
        <w:numPr>
          <w:ilvl w:val="1"/>
          <w:numId w:val="6"/>
        </w:numPr>
        <w:rPr>
          <w:rFonts w:ascii="宋体" w:hAnsi="宋体" w:eastAsia="宋体" w:cs="宋体"/>
          <w:b w:val="0"/>
          <w:color w:val="auto"/>
          <w:highlight w:val="none"/>
        </w:rPr>
      </w:pPr>
      <w:r>
        <w:rPr>
          <w:rFonts w:hint="eastAsia" w:ascii="宋体" w:hAnsi="宋体" w:eastAsia="宋体" w:cs="宋体"/>
          <w:b w:val="0"/>
          <w:color w:val="auto"/>
          <w:highlight w:val="none"/>
        </w:rPr>
        <w:t>本项目采用视频会议的方式进行开标、唱标等开标工作。</w:t>
      </w:r>
    </w:p>
    <w:bookmarkEnd w:id="14"/>
    <w:p>
      <w:pPr>
        <w:pStyle w:val="13"/>
        <w:numPr>
          <w:ilvl w:val="1"/>
          <w:numId w:val="5"/>
        </w:numPr>
        <w:spacing w:before="31" w:after="31"/>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未购买本项目招标文件的，其投标将被拒绝，有文件证明下列情形的除外：</w:t>
      </w:r>
      <w:bookmarkEnd w:id="13"/>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作为投标人的办事处或分公司代为购买标书的；</w:t>
      </w:r>
    </w:p>
    <w:p>
      <w:pPr>
        <w:pStyle w:val="14"/>
        <w:numPr>
          <w:ilvl w:val="2"/>
          <w:numId w:val="5"/>
        </w:numPr>
        <w:ind w:left="552" w:hanging="552"/>
        <w:rPr>
          <w:rFonts w:ascii="宋体" w:hAnsi="宋体" w:eastAsia="宋体" w:cs="宋体"/>
          <w:color w:val="auto"/>
          <w:highlight w:val="none"/>
        </w:rPr>
      </w:pPr>
      <w:r>
        <w:rPr>
          <w:rFonts w:hint="eastAsia" w:ascii="宋体" w:hAnsi="宋体" w:eastAsia="宋体" w:cs="宋体"/>
          <w:color w:val="auto"/>
          <w:highlight w:val="none"/>
        </w:rPr>
        <w:t>购买标书的厂家在投标截止前因兼并、重组上市等原因导致公司名称变化的。</w:t>
      </w:r>
    </w:p>
    <w:p>
      <w:pPr>
        <w:pStyle w:val="5"/>
        <w:numPr>
          <w:ilvl w:val="0"/>
          <w:numId w:val="4"/>
        </w:numPr>
        <w:spacing w:before="31" w:after="31"/>
        <w:rPr>
          <w:rStyle w:val="7"/>
          <w:rFonts w:ascii="宋体" w:hAnsi="宋体" w:cs="宋体"/>
          <w:b w:val="0"/>
          <w:bCs w:val="0"/>
          <w:color w:val="auto"/>
          <w:highlight w:val="none"/>
        </w:rPr>
      </w:pPr>
      <w:bookmarkStart w:id="15" w:name="_Toc23992"/>
      <w:bookmarkStart w:id="16" w:name="_Toc70508109"/>
      <w:bookmarkStart w:id="17" w:name="_Toc70502272"/>
      <w:bookmarkStart w:id="18" w:name="_Toc22866"/>
      <w:r>
        <w:rPr>
          <w:rStyle w:val="7"/>
          <w:rFonts w:hint="eastAsia" w:ascii="宋体" w:hAnsi="宋体" w:cs="宋体"/>
          <w:b w:val="0"/>
          <w:bCs w:val="0"/>
          <w:color w:val="auto"/>
          <w:highlight w:val="none"/>
        </w:rPr>
        <w:t>发布公告的媒体</w:t>
      </w:r>
      <w:bookmarkEnd w:id="15"/>
      <w:bookmarkEnd w:id="16"/>
      <w:bookmarkEnd w:id="17"/>
    </w:p>
    <w:bookmarkEnd w:id="18"/>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招标公告将在中核集团电子采购平台（https://www.cnncecp.com）和中国招标投标公告服务平台（www.cebpubservice.com）进行发布。对于其他媒介发布的本次招标项目的公告，招标人对其准确性不承担任何责任。</w:t>
      </w:r>
    </w:p>
    <w:p>
      <w:pPr>
        <w:pStyle w:val="5"/>
        <w:numPr>
          <w:ilvl w:val="0"/>
          <w:numId w:val="4"/>
        </w:numPr>
        <w:spacing w:before="31" w:after="31"/>
        <w:rPr>
          <w:rStyle w:val="7"/>
          <w:rFonts w:ascii="宋体" w:hAnsi="宋体" w:cs="宋体"/>
          <w:b w:val="0"/>
          <w:bCs w:val="0"/>
          <w:color w:val="auto"/>
          <w:highlight w:val="none"/>
        </w:rPr>
      </w:pPr>
      <w:bookmarkStart w:id="19" w:name="_Toc70508110"/>
      <w:bookmarkStart w:id="20" w:name="_Toc774"/>
      <w:r>
        <w:rPr>
          <w:rStyle w:val="7"/>
          <w:rFonts w:hint="eastAsia" w:ascii="宋体" w:hAnsi="宋体" w:cs="宋体"/>
          <w:b w:val="0"/>
          <w:bCs w:val="0"/>
          <w:color w:val="auto"/>
          <w:highlight w:val="none"/>
        </w:rPr>
        <w:t>联系方式</w:t>
      </w:r>
      <w:bookmarkEnd w:id="19"/>
      <w:r>
        <w:rPr>
          <w:rStyle w:val="7"/>
          <w:rFonts w:hint="eastAsia" w:ascii="宋体" w:hAnsi="宋体" w:cs="宋体"/>
          <w:b w:val="0"/>
          <w:bCs w:val="0"/>
          <w:color w:val="auto"/>
          <w:highlight w:val="none"/>
        </w:rPr>
        <w:t xml:space="preserve"> </w:t>
      </w:r>
    </w:p>
    <w:bookmarkEnd w:id="20"/>
    <w:p>
      <w:pPr>
        <w:pStyle w:val="6"/>
        <w:spacing w:line="360" w:lineRule="auto"/>
        <w:ind w:left="6240" w:hanging="6240" w:hangingChars="2600"/>
        <w:rPr>
          <w:rFonts w:ascii="宋体" w:hAnsi="宋体" w:cs="宋体"/>
          <w:color w:val="auto"/>
          <w:highlight w:val="none"/>
        </w:rPr>
      </w:pPr>
      <w:r>
        <w:rPr>
          <w:rFonts w:hint="eastAsia" w:ascii="宋体" w:hAnsi="宋体" w:cs="宋体"/>
          <w:color w:val="auto"/>
          <w:highlight w:val="none"/>
        </w:rPr>
        <w:t>招 标 人：</w:t>
      </w:r>
      <w:r>
        <w:rPr>
          <w:rFonts w:hint="eastAsia" w:ascii="宋体" w:hAnsi="宋体" w:cs="宋体"/>
          <w:color w:val="auto"/>
          <w:highlight w:val="none"/>
          <w:u w:val="single"/>
        </w:rPr>
        <w:t xml:space="preserve"> 中国核电工程有限公司        </w:t>
      </w:r>
      <w:r>
        <w:rPr>
          <w:rFonts w:hint="eastAsia" w:ascii="宋体" w:hAnsi="宋体" w:cs="宋体"/>
          <w:color w:val="auto"/>
          <w:highlight w:val="none"/>
        </w:rPr>
        <w:t>招标代理机构</w:t>
      </w:r>
      <w:r>
        <w:rPr>
          <w:rFonts w:hint="eastAsia" w:ascii="宋体" w:hAnsi="宋体" w:cs="宋体"/>
          <w:color w:val="auto"/>
          <w:highlight w:val="none"/>
          <w:u w:val="single"/>
        </w:rPr>
        <w:t>：北京国科军友工程咨询有限公司</w:t>
      </w:r>
    </w:p>
    <w:p>
      <w:pPr>
        <w:pStyle w:val="6"/>
        <w:spacing w:line="360" w:lineRule="auto"/>
        <w:ind w:left="5760" w:hanging="5760" w:hangingChars="2400"/>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北京市海淀区西三环北路117号 </w:t>
      </w:r>
      <w:r>
        <w:rPr>
          <w:rFonts w:hint="eastAsia" w:ascii="宋体" w:hAnsi="宋体" w:cs="宋体"/>
          <w:color w:val="auto"/>
          <w:highlight w:val="none"/>
        </w:rPr>
        <w:t>地    址</w:t>
      </w:r>
      <w:r>
        <w:rPr>
          <w:rFonts w:hint="eastAsia" w:ascii="宋体" w:hAnsi="宋体" w:cs="宋体"/>
          <w:color w:val="auto"/>
          <w:highlight w:val="none"/>
          <w:u w:val="single"/>
        </w:rPr>
        <w:t xml:space="preserve">：北京市海淀区中关村南大街31号神舟大厦11层 </w:t>
      </w:r>
    </w:p>
    <w:p>
      <w:pPr>
        <w:pStyle w:val="6"/>
        <w:spacing w:line="360" w:lineRule="auto"/>
        <w:rPr>
          <w:rFonts w:ascii="宋体" w:hAnsi="宋体" w:cs="宋体"/>
          <w:color w:val="auto"/>
          <w:highlight w:val="none"/>
        </w:rPr>
      </w:pPr>
      <w:r>
        <w:rPr>
          <w:rFonts w:hint="eastAsia" w:ascii="宋体" w:hAnsi="宋体" w:cs="宋体"/>
          <w:color w:val="auto"/>
          <w:highlight w:val="none"/>
        </w:rPr>
        <w:t>邮    编：</w:t>
      </w:r>
      <w:r>
        <w:rPr>
          <w:rFonts w:hint="eastAsia" w:ascii="宋体" w:hAnsi="宋体" w:cs="宋体"/>
          <w:color w:val="auto"/>
          <w:highlight w:val="none"/>
          <w:u w:val="single"/>
        </w:rPr>
        <w:t xml:space="preserve"> 100840                     </w:t>
      </w:r>
      <w:r>
        <w:rPr>
          <w:rFonts w:hint="eastAsia" w:ascii="宋体" w:hAnsi="宋体" w:cs="宋体"/>
          <w:color w:val="auto"/>
          <w:highlight w:val="none"/>
        </w:rPr>
        <w:t xml:space="preserve"> 邮    编：</w:t>
      </w:r>
      <w:r>
        <w:rPr>
          <w:rFonts w:hint="eastAsia" w:ascii="宋体" w:hAnsi="宋体" w:cs="宋体"/>
          <w:color w:val="auto"/>
          <w:highlight w:val="none"/>
          <w:u w:val="single"/>
        </w:rPr>
        <w:t xml:space="preserve"> 100081          </w:t>
      </w:r>
    </w:p>
    <w:p>
      <w:pPr>
        <w:pStyle w:val="6"/>
        <w:spacing w:line="360" w:lineRule="auto"/>
        <w:rPr>
          <w:rFonts w:ascii="宋体" w:hAnsi="宋体" w:cs="宋体"/>
          <w:color w:val="auto"/>
          <w:highlight w:val="none"/>
        </w:rPr>
      </w:pPr>
      <w:r>
        <w:rPr>
          <w:rFonts w:hint="eastAsia" w:ascii="宋体" w:hAnsi="宋体" w:cs="宋体"/>
          <w:color w:val="auto"/>
          <w:highlight w:val="none"/>
        </w:rPr>
        <w:t>联 系 人：</w:t>
      </w:r>
      <w:r>
        <w:rPr>
          <w:rFonts w:hint="eastAsia" w:ascii="宋体" w:hAnsi="宋体" w:cs="宋体"/>
          <w:color w:val="auto"/>
          <w:highlight w:val="none"/>
          <w:u w:val="single"/>
        </w:rPr>
        <w:t xml:space="preserve"> 亢怡                        </w:t>
      </w:r>
      <w:r>
        <w:rPr>
          <w:rFonts w:hint="eastAsia" w:ascii="宋体" w:hAnsi="宋体" w:cs="宋体"/>
          <w:color w:val="auto"/>
          <w:highlight w:val="none"/>
        </w:rPr>
        <w:t>联 系 人：</w:t>
      </w:r>
      <w:r>
        <w:rPr>
          <w:rFonts w:hint="eastAsia" w:ascii="宋体" w:hAnsi="宋体" w:cs="宋体"/>
          <w:color w:val="auto"/>
          <w:highlight w:val="none"/>
          <w:u w:val="single"/>
        </w:rPr>
        <w:t xml:space="preserve">  </w:t>
      </w:r>
      <w:r>
        <w:rPr>
          <w:rFonts w:hint="eastAsia" w:ascii="宋体" w:hAnsi="宋体" w:cs="宋体"/>
          <w:color w:val="auto"/>
          <w:highlight w:val="none"/>
          <w:u w:val="single"/>
          <w:shd w:val="clear" w:color="auto" w:fill="FFFFFF"/>
        </w:rPr>
        <w:t>李征、李梁彬</w:t>
      </w:r>
      <w:r>
        <w:rPr>
          <w:rFonts w:hint="eastAsia" w:ascii="宋体" w:hAnsi="宋体" w:cs="宋体"/>
          <w:color w:val="auto"/>
          <w:highlight w:val="none"/>
          <w:u w:val="single"/>
        </w:rPr>
        <w:t xml:space="preserve">   </w:t>
      </w:r>
    </w:p>
    <w:p>
      <w:pPr>
        <w:pStyle w:val="6"/>
        <w:spacing w:line="360" w:lineRule="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010-88023997-8014         </w:t>
      </w:r>
      <w:r>
        <w:rPr>
          <w:rFonts w:hint="eastAsia" w:ascii="宋体" w:hAnsi="宋体" w:cs="宋体"/>
          <w:color w:val="auto"/>
          <w:highlight w:val="none"/>
        </w:rPr>
        <w:t xml:space="preserve">  电    话：</w:t>
      </w:r>
      <w:bookmarkStart w:id="21" w:name="ggxx%EF%BC%9ALXDH_1"/>
      <w:r>
        <w:rPr>
          <w:rFonts w:hint="eastAsia" w:ascii="宋体" w:hAnsi="宋体" w:cs="宋体"/>
          <w:color w:val="auto"/>
          <w:highlight w:val="none"/>
          <w:u w:val="single"/>
        </w:rPr>
        <w:t>010-68197261/681</w:t>
      </w:r>
      <w:bookmarkEnd w:id="21"/>
      <w:r>
        <w:rPr>
          <w:rFonts w:hint="eastAsia" w:ascii="宋体" w:hAnsi="宋体" w:cs="宋体"/>
          <w:color w:val="auto"/>
          <w:highlight w:val="none"/>
          <w:u w:val="single"/>
        </w:rPr>
        <w:t>96355</w:t>
      </w:r>
    </w:p>
    <w:p>
      <w:pPr>
        <w:pStyle w:val="6"/>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传    真：</w:t>
      </w:r>
      <w:r>
        <w:rPr>
          <w:rFonts w:hint="eastAsia" w:ascii="宋体" w:hAnsi="宋体" w:cs="宋体"/>
          <w:color w:val="auto"/>
          <w:highlight w:val="none"/>
          <w:u w:val="single"/>
        </w:rPr>
        <w:t xml:space="preserve">010-68118720       </w:t>
      </w:r>
    </w:p>
    <w:p>
      <w:pPr>
        <w:pStyle w:val="6"/>
        <w:spacing w:line="360" w:lineRule="auto"/>
        <w:rPr>
          <w:rFonts w:ascii="宋体" w:hAnsi="宋体" w:cs="宋体"/>
          <w:color w:val="auto"/>
          <w:highlight w:val="none"/>
        </w:rPr>
      </w:pPr>
      <w:r>
        <w:rPr>
          <w:rFonts w:hint="eastAsia" w:ascii="宋体" w:hAnsi="宋体" w:cs="宋体"/>
          <w:color w:val="auto"/>
          <w:highlight w:val="none"/>
        </w:rPr>
        <w:t>电子邮件：</w:t>
      </w:r>
      <w:r>
        <w:rPr>
          <w:rFonts w:hint="eastAsia" w:ascii="宋体" w:hAnsi="宋体" w:cs="宋体"/>
          <w:color w:val="auto"/>
          <w:highlight w:val="none"/>
          <w:u w:val="single"/>
        </w:rPr>
        <w:t xml:space="preserve">                             </w:t>
      </w:r>
      <w:r>
        <w:rPr>
          <w:rFonts w:hint="eastAsia" w:ascii="宋体" w:hAnsi="宋体" w:cs="宋体"/>
          <w:color w:val="auto"/>
          <w:highlight w:val="none"/>
        </w:rPr>
        <w:t>电子邮件：</w:t>
      </w:r>
      <w:r>
        <w:rPr>
          <w:rFonts w:hint="eastAsia" w:ascii="宋体" w:hAnsi="宋体" w:cs="宋体"/>
          <w:color w:val="auto"/>
          <w:highlight w:val="none"/>
          <w:u w:val="single"/>
        </w:rPr>
        <w:t>gkjy_r@163.com</w:t>
      </w:r>
    </w:p>
    <w:p>
      <w:pPr>
        <w:pStyle w:val="6"/>
        <w:spacing w:line="360" w:lineRule="auto"/>
        <w:rPr>
          <w:rFonts w:ascii="宋体" w:hAnsi="宋体" w:cs="宋体"/>
          <w:color w:val="auto"/>
          <w:highlight w:val="none"/>
          <w:u w:val="single"/>
        </w:rPr>
      </w:pPr>
      <w:r>
        <w:rPr>
          <w:rFonts w:hint="eastAsia" w:ascii="宋体" w:hAnsi="宋体" w:cs="宋体"/>
          <w:color w:val="auto"/>
          <w:highlight w:val="none"/>
        </w:rPr>
        <w:t>网    址：</w:t>
      </w:r>
      <w:r>
        <w:rPr>
          <w:rFonts w:hint="eastAsia" w:ascii="宋体" w:hAnsi="宋体" w:cs="宋体"/>
          <w:color w:val="auto"/>
          <w:highlight w:val="none"/>
          <w:u w:val="single"/>
        </w:rPr>
        <w:t xml:space="preserve">                             </w:t>
      </w:r>
      <w:r>
        <w:rPr>
          <w:rFonts w:hint="eastAsia" w:ascii="宋体" w:hAnsi="宋体" w:cs="宋体"/>
          <w:color w:val="auto"/>
          <w:highlight w:val="none"/>
        </w:rPr>
        <w:t>网    址：</w:t>
      </w:r>
      <w:r>
        <w:rPr>
          <w:rFonts w:hint="eastAsia" w:ascii="宋体" w:hAnsi="宋体" w:cs="宋体"/>
          <w:color w:val="auto"/>
          <w:highlight w:val="none"/>
          <w:u w:val="single"/>
        </w:rPr>
        <w:t xml:space="preserve">                    </w:t>
      </w:r>
    </w:p>
    <w:p>
      <w:pPr>
        <w:pStyle w:val="5"/>
        <w:numPr>
          <w:ilvl w:val="0"/>
          <w:numId w:val="4"/>
        </w:numPr>
        <w:spacing w:before="31" w:after="31"/>
        <w:rPr>
          <w:rStyle w:val="7"/>
          <w:rFonts w:ascii="宋体" w:hAnsi="宋体" w:cs="宋体"/>
          <w:b w:val="0"/>
          <w:bCs w:val="0"/>
          <w:color w:val="auto"/>
          <w:highlight w:val="none"/>
        </w:rPr>
      </w:pPr>
      <w:bookmarkStart w:id="22" w:name="_Toc70508111"/>
      <w:bookmarkStart w:id="23" w:name="_Toc28035"/>
      <w:r>
        <w:rPr>
          <w:rStyle w:val="7"/>
          <w:rFonts w:hint="eastAsia" w:ascii="宋体" w:hAnsi="宋体" w:cs="宋体"/>
          <w:b w:val="0"/>
          <w:bCs w:val="0"/>
          <w:color w:val="auto"/>
          <w:highlight w:val="none"/>
        </w:rPr>
        <w:t>其他说明</w:t>
      </w:r>
      <w:bookmarkEnd w:id="22"/>
    </w:p>
    <w:bookmarkEnd w:id="23"/>
    <w:p>
      <w:pPr>
        <w:pStyle w:val="6"/>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中国核电工程有限公司北京国科军友工程咨询有限公司独家负责</w:t>
      </w:r>
      <w:r>
        <w:rPr>
          <w:rFonts w:hint="eastAsia" w:ascii="宋体" w:hAnsi="宋体" w:cs="宋体"/>
          <w:color w:val="auto"/>
          <w:highlight w:val="none"/>
          <w:u w:val="single"/>
        </w:rPr>
        <w:t>R2项目氮氧化物监测装置</w:t>
      </w:r>
      <w:r>
        <w:rPr>
          <w:rFonts w:hint="eastAsia" w:ascii="宋体" w:hAnsi="宋体" w:cs="宋体"/>
          <w:color w:val="auto"/>
          <w:highlight w:val="none"/>
        </w:rPr>
        <w:t>设备的</w:t>
      </w:r>
      <w:r>
        <w:rPr>
          <w:rFonts w:hint="eastAsia" w:ascii="宋体" w:hAnsi="宋体" w:cs="宋体"/>
          <w:color w:val="auto"/>
          <w:highlight w:val="none"/>
          <w:lang w:val="zh-CN"/>
        </w:rPr>
        <w:t>国内公开招标代理</w:t>
      </w:r>
      <w:r>
        <w:rPr>
          <w:rFonts w:hint="eastAsia" w:ascii="宋体" w:hAnsi="宋体" w:cs="宋体"/>
          <w:color w:val="auto"/>
          <w:highlight w:val="none"/>
        </w:rPr>
        <w:t>工作。对于其它公司利用本公司发布的招标信息进行诈骗的行为，本公司将不承担任何责任，并保留追究相关责任人权利。</w:t>
      </w:r>
    </w:p>
    <w:p>
      <w:pPr>
        <w:pStyle w:val="6"/>
        <w:spacing w:line="360" w:lineRule="auto"/>
        <w:ind w:firstLine="480" w:firstLineChars="200"/>
        <w:rPr>
          <w:rFonts w:hint="eastAsia" w:ascii="宋体" w:hAnsi="宋体" w:eastAsia="宋体" w:cs="宋体"/>
        </w:rPr>
      </w:pPr>
      <w:r>
        <w:rPr>
          <w:rFonts w:hint="eastAsia" w:ascii="宋体" w:hAnsi="宋体" w:cs="宋体"/>
          <w:b w:val="0"/>
          <w:color w:val="auto"/>
          <w:highlight w:val="none"/>
        </w:rPr>
        <w:t>本次招标活动的最终解释权在中国核电工程有限公司。</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82316"/>
    <w:multiLevelType w:val="multilevel"/>
    <w:tmpl w:val="59282316"/>
    <w:lvl w:ilvl="0" w:tentative="0">
      <w:start w:val="1"/>
      <w:numFmt w:val="decimal"/>
      <w:pStyle w:val="5"/>
      <w:suff w:val="space"/>
      <w:lvlText w:val="%1."/>
      <w:lvlJc w:val="left"/>
      <w:pPr>
        <w:ind w:left="3544" w:firstLine="0"/>
      </w:pPr>
      <w:rPr>
        <w:rFonts w:hint="default" w:ascii="Calibri" w:hAnsi="Calibri" w:eastAsia="宋体" w:cstheme="minorHAnsi"/>
        <w:b/>
        <w:i w:val="0"/>
        <w:color w:val="auto"/>
        <w:sz w:val="24"/>
        <w:szCs w:val="28"/>
      </w:rPr>
    </w:lvl>
    <w:lvl w:ilvl="1" w:tentative="0">
      <w:start w:val="1"/>
      <w:numFmt w:val="decimal"/>
      <w:isLgl/>
      <w:suff w:val="space"/>
      <w:lvlText w:val="%1.%2"/>
      <w:lvlJc w:val="left"/>
      <w:pPr>
        <w:ind w:left="3544" w:firstLine="0"/>
      </w:pPr>
      <w:rPr>
        <w:rFonts w:hint="default" w:ascii="Calibri" w:hAnsi="Calibri"/>
        <w:b/>
        <w:i w:val="0"/>
        <w:color w:val="auto"/>
        <w:sz w:val="24"/>
        <w:szCs w:val="24"/>
      </w:rPr>
    </w:lvl>
    <w:lvl w:ilvl="2" w:tentative="0">
      <w:start w:val="1"/>
      <w:numFmt w:val="decimal"/>
      <w:isLgl/>
      <w:suff w:val="space"/>
      <w:lvlText w:val="%1.%2.%3"/>
      <w:lvlJc w:val="left"/>
      <w:pPr>
        <w:ind w:left="3544" w:firstLine="0"/>
      </w:pPr>
      <w:rPr>
        <w:rFonts w:hint="default" w:ascii="Calibri" w:hAnsi="Calibri"/>
        <w:b w:val="0"/>
        <w:i w:val="0"/>
        <w:sz w:val="24"/>
        <w:szCs w:val="24"/>
      </w:rPr>
    </w:lvl>
    <w:lvl w:ilvl="3" w:tentative="0">
      <w:start w:val="1"/>
      <w:numFmt w:val="decimal"/>
      <w:isLgl/>
      <w:suff w:val="space"/>
      <w:lvlText w:val="%1.%2.%3.%4"/>
      <w:lvlJc w:val="left"/>
      <w:pPr>
        <w:ind w:left="3544" w:firstLine="0"/>
      </w:pPr>
      <w:rPr>
        <w:rFonts w:hint="default" w:ascii="Calibri" w:hAnsi="Calibri"/>
        <w:sz w:val="24"/>
      </w:rPr>
    </w:lvl>
    <w:lvl w:ilvl="4" w:tentative="0">
      <w:start w:val="1"/>
      <w:numFmt w:val="decimal"/>
      <w:isLgl/>
      <w:suff w:val="space"/>
      <w:lvlText w:val="%1.%2.%3.%4.%5"/>
      <w:lvlJc w:val="left"/>
      <w:pPr>
        <w:ind w:left="3544" w:firstLine="0"/>
      </w:pPr>
      <w:rPr>
        <w:rFonts w:hint="default" w:ascii="Calibri" w:hAnsi="Calibri"/>
        <w:sz w:val="24"/>
      </w:rPr>
    </w:lvl>
    <w:lvl w:ilvl="5" w:tentative="0">
      <w:start w:val="1"/>
      <w:numFmt w:val="decimal"/>
      <w:isLgl/>
      <w:lvlText w:val="%1.%2.%3.%4.%5.%6"/>
      <w:lvlJc w:val="left"/>
      <w:pPr>
        <w:ind w:left="3544" w:firstLine="0"/>
      </w:pPr>
      <w:rPr>
        <w:rFonts w:hint="default"/>
      </w:rPr>
    </w:lvl>
    <w:lvl w:ilvl="6" w:tentative="0">
      <w:start w:val="1"/>
      <w:numFmt w:val="decimal"/>
      <w:isLgl/>
      <w:lvlText w:val="%1.%2.%3.%4.%5.%6.%7"/>
      <w:lvlJc w:val="left"/>
      <w:pPr>
        <w:ind w:left="3544" w:firstLine="0"/>
      </w:pPr>
      <w:rPr>
        <w:rFonts w:hint="default"/>
      </w:rPr>
    </w:lvl>
    <w:lvl w:ilvl="7" w:tentative="0">
      <w:start w:val="1"/>
      <w:numFmt w:val="decimal"/>
      <w:isLgl/>
      <w:lvlText w:val="%1.%2.%3.%4.%5.%6.%7.%8"/>
      <w:lvlJc w:val="left"/>
      <w:pPr>
        <w:ind w:left="3544" w:firstLine="0"/>
      </w:pPr>
      <w:rPr>
        <w:rFonts w:hint="default"/>
      </w:rPr>
    </w:lvl>
    <w:lvl w:ilvl="8" w:tentative="0">
      <w:start w:val="1"/>
      <w:numFmt w:val="decimal"/>
      <w:isLgl/>
      <w:lvlText w:val="%1.%2.%3.%4.%5.%6.%7.%8.%9"/>
      <w:lvlJc w:val="left"/>
      <w:pPr>
        <w:ind w:left="3544" w:firstLine="0"/>
      </w:pPr>
      <w:rPr>
        <w:rFonts w:hint="default"/>
      </w:rPr>
    </w:lvl>
  </w:abstractNum>
  <w:abstractNum w:abstractNumId="1">
    <w:nsid w:val="724761A1"/>
    <w:multiLevelType w:val="multilevel"/>
    <w:tmpl w:val="724761A1"/>
    <w:lvl w:ilvl="0" w:tentative="0">
      <w:start w:val="1"/>
      <w:numFmt w:val="decimal"/>
      <w:pStyle w:val="16"/>
      <w:suff w:val="space"/>
      <w:lvlText w:val="%1."/>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szCs w:val="24"/>
        <w:u w:val="none"/>
        <w:vertAlign w:val="baseline"/>
      </w:rPr>
    </w:lvl>
    <w:lvl w:ilvl="1" w:tentative="0">
      <w:start w:val="1"/>
      <w:numFmt w:val="decimal"/>
      <w:isLgl/>
      <w:suff w:val="space"/>
      <w:lvlText w:val="%1.%2"/>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isLgl/>
      <w:suff w:val="space"/>
      <w:lvlText w:val="%1.%2.%3"/>
      <w:lvlJc w:val="left"/>
      <w:pPr>
        <w:ind w:left="3969" w:firstLine="0"/>
      </w:pPr>
      <w:rPr>
        <w:rFonts w:hint="default" w:ascii="Calibri" w:hAnsi="Calibri" w:cstheme="minorHAnsi"/>
        <w:b w:val="0"/>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lang w:eastAsia="zh-CN"/>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787F0050"/>
    <w:multiLevelType w:val="multilevel"/>
    <w:tmpl w:val="787F0050"/>
    <w:lvl w:ilvl="0" w:tentative="0">
      <w:start w:val="1"/>
      <w:numFmt w:val="decimal"/>
      <w:suff w:val="space"/>
      <w:lvlText w:val="%1."/>
      <w:lvlJc w:val="left"/>
      <w:pPr>
        <w:ind w:left="0" w:firstLine="0"/>
      </w:pPr>
      <w:rPr>
        <w:rFonts w:hint="default" w:ascii="Calibri" w:hAnsi="Calibri" w:cs="Times New Roman"/>
        <w:b/>
        <w:bCs w:val="0"/>
        <w:i w:val="0"/>
        <w:iCs w:val="0"/>
        <w:caps w:val="0"/>
        <w:strike w:val="0"/>
        <w:dstrike w:val="0"/>
        <w:vanish w:val="0"/>
        <w:color w:val="auto"/>
        <w:spacing w:val="0"/>
        <w:kern w:val="0"/>
        <w:position w:val="0"/>
        <w:sz w:val="28"/>
        <w:szCs w:val="24"/>
        <w:u w:val="none"/>
        <w:vertAlign w:val="baseline"/>
      </w:rPr>
    </w:lvl>
    <w:lvl w:ilvl="1" w:tentative="0">
      <w:start w:val="1"/>
      <w:numFmt w:val="decimal"/>
      <w:pStyle w:val="13"/>
      <w:isLgl/>
      <w:suff w:val="space"/>
      <w:lvlText w:val="%1.%2"/>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pStyle w:val="14"/>
      <w:isLgl/>
      <w:suff w:val="space"/>
      <w:lvlText w:val="%1.%2.%3"/>
      <w:lvlJc w:val="left"/>
      <w:pPr>
        <w:ind w:left="0" w:firstLine="0"/>
      </w:pPr>
      <w:rPr>
        <w:rFonts w:hint="default" w:ascii="Calibri" w:hAnsi="Calibri" w:cstheme="minorHAnsi"/>
        <w:b/>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82E14"/>
    <w:rsid w:val="21FB18FB"/>
    <w:rsid w:val="53354AA8"/>
    <w:rsid w:val="554E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节名"/>
    <w:basedOn w:val="6"/>
    <w:link w:val="8"/>
    <w:qFormat/>
    <w:uiPriority w:val="0"/>
    <w:pPr>
      <w:numPr>
        <w:ilvl w:val="0"/>
        <w:numId w:val="1"/>
      </w:numPr>
      <w:spacing w:line="360" w:lineRule="auto"/>
      <w:outlineLvl w:val="0"/>
    </w:pPr>
    <w:rPr>
      <w:rFonts w:ascii="Times New Roman" w:hAnsi="Times New Roman" w:cs="Times New Roman"/>
      <w:b/>
      <w:bCs/>
      <w:color w:val="auto"/>
    </w:rPr>
  </w:style>
  <w:style w:type="paragraph" w:customStyle="1" w:styleId="6">
    <w:name w:val="Default"/>
    <w:link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
    <w:name w:val="第一节 Char"/>
    <w:basedOn w:val="8"/>
    <w:link w:val="10"/>
    <w:qFormat/>
    <w:uiPriority w:val="0"/>
  </w:style>
  <w:style w:type="character" w:customStyle="1" w:styleId="8">
    <w:name w:val="节名 Char"/>
    <w:basedOn w:val="9"/>
    <w:link w:val="5"/>
    <w:qFormat/>
    <w:uiPriority w:val="0"/>
    <w:rPr>
      <w:rFonts w:ascii="Times New Roman" w:hAnsi="Times New Roman" w:cs="Times New Roman"/>
      <w:b/>
      <w:bCs/>
      <w:color w:val="auto"/>
    </w:rPr>
  </w:style>
  <w:style w:type="character" w:customStyle="1" w:styleId="9">
    <w:name w:val="Default Char"/>
    <w:basedOn w:val="3"/>
    <w:link w:val="6"/>
    <w:qFormat/>
    <w:uiPriority w:val="0"/>
    <w:rPr>
      <w:rFonts w:ascii="Arial" w:hAnsi="Arial" w:eastAsia="宋体" w:cs="Arial"/>
      <w:color w:val="000000"/>
      <w:sz w:val="24"/>
      <w:szCs w:val="24"/>
      <w:lang w:val="en-US" w:eastAsia="zh-CN" w:bidi="ar-SA"/>
    </w:rPr>
  </w:style>
  <w:style w:type="paragraph" w:customStyle="1" w:styleId="10">
    <w:name w:val="第一节"/>
    <w:basedOn w:val="5"/>
    <w:link w:val="7"/>
    <w:qFormat/>
    <w:uiPriority w:val="0"/>
    <w:pPr>
      <w:numPr>
        <w:numId w:val="0"/>
      </w:numPr>
      <w:spacing w:before="31" w:after="31"/>
    </w:pPr>
  </w:style>
  <w:style w:type="paragraph" w:customStyle="1" w:styleId="11">
    <w:name w:val="样式16"/>
    <w:basedOn w:val="12"/>
    <w:qFormat/>
    <w:uiPriority w:val="0"/>
  </w:style>
  <w:style w:type="paragraph" w:customStyle="1" w:styleId="12">
    <w:name w:val="样式15"/>
    <w:basedOn w:val="5"/>
    <w:qFormat/>
    <w:uiPriority w:val="0"/>
    <w:pPr>
      <w:numPr>
        <w:ilvl w:val="0"/>
        <w:numId w:val="0"/>
      </w:numPr>
      <w:spacing w:before="31" w:after="31"/>
    </w:pPr>
    <w:rPr>
      <w:rFonts w:asciiTheme="minorEastAsia" w:hAnsiTheme="minorEastAsia" w:eastAsiaTheme="minorEastAsia"/>
      <w:sz w:val="28"/>
      <w:szCs w:val="28"/>
    </w:rPr>
  </w:style>
  <w:style w:type="paragraph" w:customStyle="1" w:styleId="13">
    <w:name w:val="小节名"/>
    <w:basedOn w:val="5"/>
    <w:qFormat/>
    <w:uiPriority w:val="0"/>
    <w:pPr>
      <w:numPr>
        <w:ilvl w:val="1"/>
        <w:numId w:val="2"/>
      </w:numPr>
    </w:pPr>
    <w:rPr>
      <w:rFonts w:asciiTheme="minorEastAsia" w:hAnsiTheme="minorEastAsia" w:eastAsiaTheme="minorEastAsia"/>
    </w:rPr>
  </w:style>
  <w:style w:type="paragraph" w:customStyle="1" w:styleId="14">
    <w:name w:val="小小节名"/>
    <w:basedOn w:val="15"/>
    <w:qFormat/>
    <w:uiPriority w:val="0"/>
    <w:pPr>
      <w:numPr>
        <w:ilvl w:val="2"/>
        <w:numId w:val="2"/>
      </w:numPr>
      <w:spacing w:line="360" w:lineRule="auto"/>
    </w:pPr>
    <w:rPr>
      <w:rFonts w:asciiTheme="minorEastAsia" w:hAnsiTheme="minorEastAsia" w:eastAsiaTheme="minorEastAsia"/>
      <w:szCs w:val="24"/>
    </w:rPr>
  </w:style>
  <w:style w:type="paragraph" w:customStyle="1" w:styleId="15">
    <w:name w:val="char1"/>
    <w:basedOn w:val="1"/>
    <w:qFormat/>
    <w:uiPriority w:val="0"/>
    <w:pPr>
      <w:spacing w:line="300" w:lineRule="auto"/>
    </w:pPr>
    <w:rPr>
      <w:rFonts w:ascii="Times New Roman" w:hAnsi="Times New Roman"/>
      <w:sz w:val="24"/>
    </w:rPr>
  </w:style>
  <w:style w:type="paragraph" w:customStyle="1" w:styleId="16">
    <w:name w:val="评标办法节"/>
    <w:basedOn w:val="5"/>
    <w:qFormat/>
    <w:uiPriority w:val="0"/>
    <w:pPr>
      <w:numPr>
        <w:numId w:val="3"/>
      </w:numPr>
      <w:spacing w:before="31" w:after="3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2022-01-27T02:38:00Z</dcterms:created>
  <dc:creator>gkzb6</dc:creator>
  <cp:lastModifiedBy>向上人生路</cp:lastModifiedBy>
  <dcterms:modified xsi:type="dcterms:W3CDTF">2022-02-25T04:44:27Z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ACD96CAF74A34C37B3E3AF715376EABA</vt:lpwstr>
  </property>
</Properties>
</file>