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B43" w:rsidRPr="00E51B43" w:rsidRDefault="00852A44" w:rsidP="00852A44">
      <w:pPr>
        <w:pStyle w:val="af7"/>
        <w:keepNext/>
        <w:keepLines/>
        <w:autoSpaceDE w:val="0"/>
        <w:autoSpaceDN w:val="0"/>
        <w:adjustRightInd w:val="0"/>
        <w:spacing w:before="120" w:after="120" w:line="276" w:lineRule="auto"/>
        <w:ind w:left="964" w:right="210" w:firstLineChars="0" w:firstLine="0"/>
        <w:jc w:val="left"/>
        <w:outlineLvl w:val="0"/>
        <w:rPr>
          <w:b/>
          <w:bCs/>
          <w:vanish/>
          <w:kern w:val="0"/>
          <w:sz w:val="24"/>
        </w:rPr>
      </w:pPr>
      <w:bookmarkStart w:id="0" w:name="_Toc15376729"/>
      <w:bookmarkStart w:id="1" w:name="_Toc15396167"/>
      <w:bookmarkStart w:id="2" w:name="_Toc15396245"/>
      <w:bookmarkStart w:id="3" w:name="_Toc15402446"/>
      <w:bookmarkStart w:id="4" w:name="_Toc15402497"/>
      <w:bookmarkStart w:id="5" w:name="_Toc22298424"/>
      <w:bookmarkStart w:id="6" w:name="_Toc66797055"/>
      <w:bookmarkStart w:id="7" w:name="_Toc358391585"/>
      <w:r>
        <w:rPr>
          <w:b/>
          <w:bCs/>
          <w:kern w:val="0"/>
          <w:sz w:val="24"/>
        </w:rPr>
        <w:t>附件</w:t>
      </w: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1"/>
          <w:numId w:val="4"/>
        </w:numPr>
        <w:tabs>
          <w:tab w:val="left" w:pos="709"/>
        </w:tabs>
        <w:autoSpaceDE w:val="0"/>
        <w:autoSpaceDN w:val="0"/>
        <w:adjustRightInd w:val="0"/>
        <w:spacing w:before="120" w:after="120" w:line="276" w:lineRule="auto"/>
        <w:ind w:firstLineChars="0"/>
        <w:jc w:val="left"/>
        <w:outlineLvl w:val="0"/>
        <w:rPr>
          <w:b/>
          <w:vanish/>
          <w:kern w:val="0"/>
          <w:sz w:val="24"/>
        </w:rPr>
      </w:pPr>
    </w:p>
    <w:p w:rsidR="00DC1B03" w:rsidRPr="00495054" w:rsidRDefault="00852A44" w:rsidP="00011282">
      <w:pPr>
        <w:spacing w:beforeLines="50" w:before="120" w:line="360" w:lineRule="auto"/>
        <w:jc w:val="center"/>
        <w:rPr>
          <w:rFonts w:ascii="方正小标宋简体" w:eastAsia="方正小标宋简体"/>
          <w:b/>
          <w:sz w:val="36"/>
          <w:szCs w:val="36"/>
        </w:rPr>
      </w:pPr>
      <w:r>
        <w:rPr>
          <w:rFonts w:ascii="方正小标宋简体" w:eastAsia="方正小标宋简体" w:hint="eastAsia"/>
          <w:b/>
          <w:sz w:val="36"/>
          <w:szCs w:val="36"/>
        </w:rPr>
        <w:t xml:space="preserve">8 </w:t>
      </w:r>
      <w:bookmarkStart w:id="8" w:name="_GoBack"/>
      <w:bookmarkEnd w:id="8"/>
      <w:r w:rsidR="00DC1B03" w:rsidRPr="00495054">
        <w:rPr>
          <w:rFonts w:ascii="方正小标宋简体" w:eastAsia="方正小标宋简体" w:hint="eastAsia"/>
          <w:b/>
          <w:sz w:val="36"/>
          <w:szCs w:val="36"/>
        </w:rPr>
        <w:t>承包商</w:t>
      </w:r>
      <w:r w:rsidR="00AE040C" w:rsidRPr="00495054">
        <w:rPr>
          <w:rFonts w:ascii="方正小标宋简体" w:eastAsia="方正小标宋简体" w:hint="eastAsia"/>
          <w:b/>
          <w:sz w:val="36"/>
          <w:szCs w:val="36"/>
        </w:rPr>
        <w:t>安全质量环保</w:t>
      </w:r>
      <w:r w:rsidR="00DC1B03" w:rsidRPr="00495054">
        <w:rPr>
          <w:rFonts w:ascii="方正小标宋简体" w:eastAsia="方正小标宋简体" w:hint="eastAsia"/>
          <w:b/>
          <w:sz w:val="36"/>
          <w:szCs w:val="36"/>
        </w:rPr>
        <w:t>考核细则</w:t>
      </w:r>
      <w:bookmarkEnd w:id="0"/>
      <w:bookmarkEnd w:id="1"/>
      <w:bookmarkEnd w:id="2"/>
      <w:bookmarkEnd w:id="3"/>
      <w:bookmarkEnd w:id="4"/>
      <w:bookmarkEnd w:id="5"/>
      <w:bookmarkEnd w:id="6"/>
    </w:p>
    <w:p w:rsidR="00DC1B03" w:rsidRPr="008125C0" w:rsidRDefault="00DC1B03" w:rsidP="00DC1B03">
      <w:pPr>
        <w:spacing w:beforeLines="50" w:before="120"/>
        <w:ind w:firstLineChars="200" w:firstLine="480"/>
        <w:rPr>
          <w:rFonts w:ascii="宋体" w:hAnsi="宋体"/>
          <w:sz w:val="24"/>
        </w:rPr>
      </w:pPr>
      <w:r w:rsidRPr="008125C0">
        <w:rPr>
          <w:rFonts w:ascii="宋体" w:hAnsi="宋体" w:hint="eastAsia"/>
          <w:sz w:val="24"/>
        </w:rPr>
        <w:t>乙方作为承包单位在甲方所属区域开展各项工作，应熟知国家、行业所颁布的</w:t>
      </w:r>
      <w:r w:rsidR="00AE040C">
        <w:rPr>
          <w:rFonts w:ascii="宋体" w:hAnsi="宋体" w:hint="eastAsia"/>
          <w:sz w:val="24"/>
        </w:rPr>
        <w:t>安全质量环保</w:t>
      </w:r>
      <w:r w:rsidRPr="008125C0">
        <w:rPr>
          <w:rFonts w:ascii="宋体" w:hAnsi="宋体" w:hint="eastAsia"/>
          <w:sz w:val="24"/>
        </w:rPr>
        <w:t>相关的法律法规、标准，并遵守甲方安全</w:t>
      </w:r>
      <w:r w:rsidR="00AE040C">
        <w:rPr>
          <w:rFonts w:ascii="宋体" w:hAnsi="宋体" w:hint="eastAsia"/>
          <w:sz w:val="24"/>
        </w:rPr>
        <w:t>质量环保</w:t>
      </w:r>
      <w:r w:rsidRPr="008125C0">
        <w:rPr>
          <w:rFonts w:ascii="宋体" w:hAnsi="宋体" w:hint="eastAsia"/>
          <w:sz w:val="24"/>
        </w:rPr>
        <w:t>相关管理制度。为进一步加强承包商安全管理，规范承包商人员的安全行为，杜绝“三违”（违章指挥、违章作业、违反劳动纪律），防止生产安全事故，特在此明确乙方</w:t>
      </w:r>
      <w:r w:rsidR="00AE040C">
        <w:rPr>
          <w:rFonts w:ascii="宋体" w:hAnsi="宋体" w:hint="eastAsia"/>
          <w:sz w:val="24"/>
        </w:rPr>
        <w:t>安全质量环保</w:t>
      </w:r>
      <w:r w:rsidRPr="008125C0">
        <w:rPr>
          <w:rFonts w:ascii="宋体" w:hAnsi="宋体" w:hint="eastAsia"/>
          <w:sz w:val="24"/>
        </w:rPr>
        <w:t>考核细则（此细则不替代主合同规定的乙方违约责任及因乙方责任给甲方带来损失的赔偿责任）：</w:t>
      </w:r>
    </w:p>
    <w:p w:rsidR="00DC1B03" w:rsidRPr="008125C0" w:rsidRDefault="00DC1B03" w:rsidP="00DC1B03">
      <w:pPr>
        <w:spacing w:beforeLines="50" w:before="120"/>
        <w:ind w:firstLineChars="200" w:firstLine="482"/>
        <w:rPr>
          <w:rFonts w:ascii="宋体" w:hAnsi="宋体"/>
          <w:b/>
          <w:sz w:val="24"/>
        </w:rPr>
      </w:pPr>
      <w:r w:rsidRPr="008125C0">
        <w:rPr>
          <w:rFonts w:ascii="宋体" w:hAnsi="宋体" w:hint="eastAsia"/>
          <w:b/>
          <w:sz w:val="24"/>
        </w:rPr>
        <w:t>一、乙方违反《安全、健康、环保和应急响应协议》的考核要求</w:t>
      </w:r>
    </w:p>
    <w:p w:rsidR="00DC1B03" w:rsidRPr="008125C0" w:rsidRDefault="00DC1B03" w:rsidP="001A2284">
      <w:pPr>
        <w:spacing w:beforeLines="50" w:before="120"/>
        <w:ind w:firstLineChars="200" w:firstLine="480"/>
        <w:rPr>
          <w:rFonts w:ascii="宋体" w:hAnsi="宋体"/>
          <w:sz w:val="24"/>
        </w:rPr>
      </w:pPr>
      <w:r w:rsidRPr="008125C0">
        <w:rPr>
          <w:rFonts w:ascii="宋体" w:hAnsi="宋体" w:hint="eastAsia"/>
          <w:sz w:val="24"/>
        </w:rPr>
        <w:t>乙方违反《安全、健康、环保和应急响应协议》相关条款，</w:t>
      </w:r>
      <w:r w:rsidRPr="008125C0">
        <w:rPr>
          <w:rFonts w:ascii="宋体" w:hAnsi="宋体"/>
          <w:sz w:val="24"/>
        </w:rPr>
        <w:t>甲方有权对乙方</w:t>
      </w:r>
      <w:r w:rsidRPr="008125C0">
        <w:rPr>
          <w:rFonts w:ascii="宋体" w:hAnsi="宋体" w:hint="eastAsia"/>
          <w:sz w:val="24"/>
        </w:rPr>
        <w:t>扣除合同款</w:t>
      </w:r>
      <w:r w:rsidR="00365F22" w:rsidRPr="008125C0">
        <w:rPr>
          <w:rFonts w:ascii="宋体" w:hAnsi="宋体" w:hint="eastAsia"/>
          <w:sz w:val="24"/>
        </w:rPr>
        <w:t>。乙方可以按照其内部管理制度对本单位责任人员进行考核，但不得将甲方扣除的合同款转嫁到责任人员个人</w:t>
      </w:r>
      <w:r w:rsidR="00C37F89" w:rsidRPr="008125C0">
        <w:rPr>
          <w:rFonts w:ascii="宋体" w:hAnsi="宋体" w:hint="eastAsia"/>
          <w:sz w:val="24"/>
        </w:rPr>
        <w:t>。</w:t>
      </w:r>
    </w:p>
    <w:tbl>
      <w:tblPr>
        <w:tblStyle w:val="a8"/>
        <w:tblW w:w="9781" w:type="dxa"/>
        <w:jc w:val="center"/>
        <w:tblInd w:w="108" w:type="dxa"/>
        <w:tblLook w:val="04A0" w:firstRow="1" w:lastRow="0" w:firstColumn="1" w:lastColumn="0" w:noHBand="0" w:noVBand="1"/>
      </w:tblPr>
      <w:tblGrid>
        <w:gridCol w:w="709"/>
        <w:gridCol w:w="7938"/>
        <w:gridCol w:w="1134"/>
      </w:tblGrid>
      <w:tr w:rsidR="00A26B4A" w:rsidRPr="008125C0" w:rsidTr="00EF193A">
        <w:trPr>
          <w:jc w:val="center"/>
        </w:trPr>
        <w:tc>
          <w:tcPr>
            <w:tcW w:w="709"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序号</w:t>
            </w:r>
          </w:p>
        </w:tc>
        <w:tc>
          <w:tcPr>
            <w:tcW w:w="7938"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乙方违规条款</w:t>
            </w:r>
          </w:p>
        </w:tc>
        <w:tc>
          <w:tcPr>
            <w:tcW w:w="1134"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扣除合同款额度</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9" w:name="_Toc15402447"/>
            <w:bookmarkStart w:id="10" w:name="_Toc15402498"/>
            <w:bookmarkStart w:id="11" w:name="_Toc15402575"/>
            <w:bookmarkStart w:id="12" w:name="_Toc19630440"/>
            <w:bookmarkStart w:id="13" w:name="_Toc22298425"/>
            <w:bookmarkStart w:id="14" w:name="_Toc22298536"/>
            <w:r w:rsidRPr="003C4C07">
              <w:rPr>
                <w:rFonts w:asciiTheme="minorEastAsia" w:eastAsiaTheme="minorEastAsia" w:hAnsiTheme="minorEastAsia" w:hint="eastAsia"/>
                <w:bCs/>
                <w:sz w:val="21"/>
              </w:rPr>
              <w:t>1</w:t>
            </w:r>
            <w:bookmarkEnd w:id="9"/>
            <w:bookmarkEnd w:id="10"/>
            <w:bookmarkEnd w:id="11"/>
            <w:bookmarkEnd w:id="12"/>
            <w:bookmarkEnd w:id="13"/>
            <w:bookmarkEnd w:id="1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人员轻伤及以上生产安全责任事故,发生一般特种设备责任事故、一般及以上火灾责任事故、一般及以上交通责任事故、一般及以上辐射事故、一般及以上环境事故、一般及以上刑事案件、职业病危害事故或其他给电站带来不良影响的各类安全事件等。</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10万元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15" w:name="_Toc15402448"/>
            <w:bookmarkStart w:id="16" w:name="_Toc15402499"/>
            <w:bookmarkStart w:id="17" w:name="_Toc15402576"/>
            <w:bookmarkStart w:id="18" w:name="_Toc19630441"/>
            <w:bookmarkStart w:id="19" w:name="_Toc22298426"/>
            <w:bookmarkStart w:id="20" w:name="_Toc22298537"/>
            <w:r w:rsidRPr="003C4C07">
              <w:rPr>
                <w:rFonts w:asciiTheme="minorEastAsia" w:eastAsiaTheme="minorEastAsia" w:hAnsiTheme="minorEastAsia" w:hint="eastAsia"/>
                <w:bCs/>
                <w:sz w:val="21"/>
              </w:rPr>
              <w:t>2</w:t>
            </w:r>
            <w:bookmarkEnd w:id="15"/>
            <w:bookmarkEnd w:id="16"/>
            <w:bookmarkEnd w:id="17"/>
            <w:bookmarkEnd w:id="18"/>
            <w:bookmarkEnd w:id="19"/>
            <w:bookmarkEnd w:id="2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乙方发生违反国家有关核安全、安全环保、职业卫生规定，导致甲方或乙方受到国家有关部门及地方政府、上级部门通报的事件。</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5万元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21" w:name="_Toc15402449"/>
            <w:bookmarkStart w:id="22" w:name="_Toc15402500"/>
            <w:bookmarkStart w:id="23" w:name="_Toc15402577"/>
            <w:bookmarkStart w:id="24" w:name="_Toc19630442"/>
            <w:bookmarkStart w:id="25" w:name="_Toc22298427"/>
            <w:bookmarkStart w:id="26" w:name="_Toc22298538"/>
            <w:r w:rsidRPr="003C4C07">
              <w:rPr>
                <w:rFonts w:asciiTheme="minorEastAsia" w:eastAsiaTheme="minorEastAsia" w:hAnsiTheme="minorEastAsia" w:hint="eastAsia"/>
                <w:bCs/>
                <w:sz w:val="21"/>
              </w:rPr>
              <w:t>3</w:t>
            </w:r>
            <w:bookmarkEnd w:id="21"/>
            <w:bookmarkEnd w:id="22"/>
            <w:bookmarkEnd w:id="23"/>
            <w:bookmarkEnd w:id="24"/>
            <w:bookmarkEnd w:id="25"/>
            <w:bookmarkEnd w:id="2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乙方发生因管理原因或违章作业而造成现场设备事故，影响到现场人员安全的；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5万元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27" w:name="_Toc15402450"/>
            <w:bookmarkStart w:id="28" w:name="_Toc15402501"/>
            <w:bookmarkStart w:id="29" w:name="_Toc15402578"/>
            <w:bookmarkStart w:id="30" w:name="_Toc19630443"/>
            <w:bookmarkStart w:id="31" w:name="_Toc22298428"/>
            <w:bookmarkStart w:id="32" w:name="_Toc22298539"/>
            <w:r w:rsidRPr="003C4C07">
              <w:rPr>
                <w:rFonts w:asciiTheme="minorEastAsia" w:eastAsiaTheme="minorEastAsia" w:hAnsiTheme="minorEastAsia" w:hint="eastAsia"/>
                <w:bCs/>
                <w:sz w:val="21"/>
              </w:rPr>
              <w:t>4</w:t>
            </w:r>
            <w:bookmarkEnd w:id="27"/>
            <w:bookmarkEnd w:id="28"/>
            <w:bookmarkEnd w:id="29"/>
            <w:bookmarkEnd w:id="30"/>
            <w:bookmarkEnd w:id="31"/>
            <w:bookmarkEnd w:id="32"/>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乙方重复发生类似违章事件，经多次指出不改的；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33" w:name="_Toc15402451"/>
            <w:bookmarkStart w:id="34" w:name="_Toc15402502"/>
            <w:bookmarkStart w:id="35" w:name="_Toc15402579"/>
            <w:bookmarkStart w:id="36" w:name="_Toc19630444"/>
            <w:bookmarkStart w:id="37" w:name="_Toc22298429"/>
            <w:bookmarkStart w:id="38" w:name="_Toc22298540"/>
            <w:r w:rsidRPr="003C4C07">
              <w:rPr>
                <w:rFonts w:asciiTheme="minorEastAsia" w:eastAsiaTheme="minorEastAsia" w:hAnsiTheme="minorEastAsia" w:hint="eastAsia"/>
                <w:bCs/>
                <w:sz w:val="21"/>
              </w:rPr>
              <w:t>5</w:t>
            </w:r>
            <w:bookmarkEnd w:id="33"/>
            <w:bookmarkEnd w:id="34"/>
            <w:bookmarkEnd w:id="35"/>
            <w:bookmarkEnd w:id="36"/>
            <w:bookmarkEnd w:id="37"/>
            <w:bookmarkEnd w:id="38"/>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乙方使用国家明令禁止使用的可能产生职业病危害的设备或材料；</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39" w:name="_Toc15402452"/>
            <w:bookmarkStart w:id="40" w:name="_Toc15402503"/>
            <w:bookmarkStart w:id="41" w:name="_Toc15402580"/>
            <w:bookmarkStart w:id="42" w:name="_Toc19630445"/>
            <w:bookmarkStart w:id="43" w:name="_Toc22298430"/>
            <w:bookmarkStart w:id="44" w:name="_Toc22298541"/>
            <w:r w:rsidRPr="003C4C07">
              <w:rPr>
                <w:rFonts w:asciiTheme="minorEastAsia" w:eastAsiaTheme="minorEastAsia" w:hAnsiTheme="minorEastAsia" w:hint="eastAsia"/>
                <w:bCs/>
                <w:sz w:val="21"/>
              </w:rPr>
              <w:t>6</w:t>
            </w:r>
            <w:bookmarkEnd w:id="39"/>
            <w:bookmarkEnd w:id="40"/>
            <w:bookmarkEnd w:id="41"/>
            <w:bookmarkEnd w:id="42"/>
            <w:bookmarkEnd w:id="43"/>
            <w:bookmarkEnd w:id="4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乙方有违反职业病防治法律、法规以及危及生命健康的行为；</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45" w:name="_Toc15402453"/>
            <w:bookmarkStart w:id="46" w:name="_Toc15402504"/>
            <w:bookmarkStart w:id="47" w:name="_Toc15402581"/>
            <w:bookmarkStart w:id="48" w:name="_Toc19630446"/>
            <w:bookmarkStart w:id="49" w:name="_Toc22298431"/>
            <w:bookmarkStart w:id="50" w:name="_Toc22298542"/>
            <w:r w:rsidRPr="003C4C07">
              <w:rPr>
                <w:rFonts w:asciiTheme="minorEastAsia" w:eastAsiaTheme="minorEastAsia" w:hAnsiTheme="minorEastAsia" w:hint="eastAsia"/>
                <w:bCs/>
                <w:sz w:val="21"/>
              </w:rPr>
              <w:t>7</w:t>
            </w:r>
            <w:bookmarkEnd w:id="45"/>
            <w:bookmarkEnd w:id="46"/>
            <w:bookmarkEnd w:id="47"/>
            <w:bookmarkEnd w:id="48"/>
            <w:bookmarkEnd w:id="49"/>
            <w:bookmarkEnd w:id="5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乙方安全管理人员不到位，现场安全管理混乱或存在可能严重污染环境的作业行为的；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51" w:name="_Toc15402454"/>
            <w:bookmarkStart w:id="52" w:name="_Toc15402505"/>
            <w:bookmarkStart w:id="53" w:name="_Toc15402582"/>
            <w:bookmarkStart w:id="54" w:name="_Toc19630447"/>
            <w:bookmarkStart w:id="55" w:name="_Toc22298432"/>
            <w:bookmarkStart w:id="56" w:name="_Toc22298543"/>
            <w:r w:rsidRPr="003C4C07">
              <w:rPr>
                <w:rFonts w:asciiTheme="minorEastAsia" w:eastAsiaTheme="minorEastAsia" w:hAnsiTheme="minorEastAsia" w:hint="eastAsia"/>
                <w:bCs/>
                <w:sz w:val="21"/>
              </w:rPr>
              <w:t>8</w:t>
            </w:r>
            <w:bookmarkEnd w:id="51"/>
            <w:bookmarkEnd w:id="52"/>
            <w:bookmarkEnd w:id="53"/>
            <w:bookmarkEnd w:id="54"/>
            <w:bookmarkEnd w:id="55"/>
            <w:bookmarkEnd w:id="5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现场脏、乱、差，不能满足安全环保和文明施工要求，经多次指出不整改的；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57" w:name="_Toc15402455"/>
            <w:bookmarkStart w:id="58" w:name="_Toc15402506"/>
            <w:bookmarkStart w:id="59" w:name="_Toc15402583"/>
            <w:bookmarkStart w:id="60" w:name="_Toc19630448"/>
            <w:bookmarkStart w:id="61" w:name="_Toc22298433"/>
            <w:bookmarkStart w:id="62" w:name="_Toc22298544"/>
            <w:r w:rsidRPr="003C4C07">
              <w:rPr>
                <w:rFonts w:asciiTheme="minorEastAsia" w:eastAsiaTheme="minorEastAsia" w:hAnsiTheme="minorEastAsia" w:hint="eastAsia"/>
                <w:bCs/>
                <w:sz w:val="21"/>
              </w:rPr>
              <w:t>9</w:t>
            </w:r>
            <w:bookmarkEnd w:id="57"/>
            <w:bookmarkEnd w:id="58"/>
            <w:bookmarkEnd w:id="59"/>
            <w:bookmarkEnd w:id="60"/>
            <w:bookmarkEnd w:id="61"/>
            <w:bookmarkEnd w:id="62"/>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乙方应急准备能力不满足甲方要求的；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63" w:name="_Toc15402456"/>
            <w:bookmarkStart w:id="64" w:name="_Toc15402507"/>
            <w:bookmarkStart w:id="65" w:name="_Toc15402584"/>
            <w:bookmarkStart w:id="66" w:name="_Toc19630449"/>
            <w:bookmarkStart w:id="67" w:name="_Toc22298434"/>
            <w:bookmarkStart w:id="68" w:name="_Toc22298545"/>
            <w:r w:rsidRPr="003C4C07">
              <w:rPr>
                <w:rFonts w:asciiTheme="minorEastAsia" w:eastAsiaTheme="minorEastAsia" w:hAnsiTheme="minorEastAsia" w:hint="eastAsia"/>
                <w:bCs/>
                <w:sz w:val="21"/>
              </w:rPr>
              <w:t>10</w:t>
            </w:r>
            <w:bookmarkEnd w:id="63"/>
            <w:bookmarkEnd w:id="64"/>
            <w:bookmarkEnd w:id="65"/>
            <w:bookmarkEnd w:id="66"/>
            <w:bookmarkEnd w:id="67"/>
            <w:bookmarkEnd w:id="68"/>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乙方特种作业人员、特种设备作业人员未取得有效的特种作业操作证、特种设备作业证书的；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69" w:name="_Toc15402457"/>
            <w:bookmarkStart w:id="70" w:name="_Toc15402508"/>
            <w:bookmarkStart w:id="71" w:name="_Toc15402585"/>
            <w:bookmarkStart w:id="72" w:name="_Toc19630450"/>
            <w:bookmarkStart w:id="73" w:name="_Toc22298435"/>
            <w:bookmarkStart w:id="74" w:name="_Toc22298546"/>
            <w:r w:rsidRPr="003C4C07">
              <w:rPr>
                <w:rFonts w:asciiTheme="minorEastAsia" w:eastAsiaTheme="minorEastAsia" w:hAnsiTheme="minorEastAsia" w:hint="eastAsia"/>
                <w:bCs/>
                <w:sz w:val="21"/>
              </w:rPr>
              <w:t>11</w:t>
            </w:r>
            <w:bookmarkEnd w:id="69"/>
            <w:bookmarkEnd w:id="70"/>
            <w:bookmarkEnd w:id="71"/>
            <w:bookmarkEnd w:id="72"/>
            <w:bookmarkEnd w:id="73"/>
            <w:bookmarkEnd w:id="7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乙方在从事爆破、吊装等危险作业时，未安排专职管理人员进行现场安全管理的；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75" w:name="_Toc15402458"/>
            <w:bookmarkStart w:id="76" w:name="_Toc15402509"/>
            <w:bookmarkStart w:id="77" w:name="_Toc15402586"/>
            <w:bookmarkStart w:id="78" w:name="_Toc19630451"/>
            <w:bookmarkStart w:id="79" w:name="_Toc22298436"/>
            <w:bookmarkStart w:id="80" w:name="_Toc22298547"/>
            <w:r w:rsidRPr="003C4C07">
              <w:rPr>
                <w:rFonts w:asciiTheme="minorEastAsia" w:eastAsiaTheme="minorEastAsia" w:hAnsiTheme="minorEastAsia" w:hint="eastAsia"/>
                <w:bCs/>
                <w:sz w:val="21"/>
              </w:rPr>
              <w:t>12</w:t>
            </w:r>
            <w:bookmarkEnd w:id="75"/>
            <w:bookmarkEnd w:id="76"/>
            <w:bookmarkEnd w:id="77"/>
            <w:bookmarkEnd w:id="78"/>
            <w:bookmarkEnd w:id="79"/>
            <w:bookmarkEnd w:id="8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乙方进入甲方区域的特种设备没有按照国家法规取得检验合格证或合格证过期的；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81" w:name="_Toc15402459"/>
            <w:bookmarkStart w:id="82" w:name="_Toc15402510"/>
            <w:bookmarkStart w:id="83" w:name="_Toc15402587"/>
            <w:bookmarkStart w:id="84" w:name="_Toc19630452"/>
            <w:bookmarkStart w:id="85" w:name="_Toc22298437"/>
            <w:bookmarkStart w:id="86" w:name="_Toc22298548"/>
            <w:r w:rsidRPr="003C4C07">
              <w:rPr>
                <w:rFonts w:asciiTheme="minorEastAsia" w:eastAsiaTheme="minorEastAsia" w:hAnsiTheme="minorEastAsia" w:hint="eastAsia"/>
                <w:bCs/>
                <w:sz w:val="21"/>
              </w:rPr>
              <w:t>13</w:t>
            </w:r>
            <w:bookmarkEnd w:id="81"/>
            <w:bookmarkEnd w:id="82"/>
            <w:bookmarkEnd w:id="83"/>
            <w:bookmarkEnd w:id="84"/>
            <w:bookmarkEnd w:id="85"/>
            <w:bookmarkEnd w:id="8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对于拒不接受安全管理人员检查、劝告，且态度恶劣、情节严重的。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bl>
    <w:p w:rsidR="00DC1B03" w:rsidRPr="008125C0" w:rsidRDefault="004575A4" w:rsidP="001A2284">
      <w:pPr>
        <w:spacing w:beforeLines="50" w:before="120"/>
        <w:ind w:firstLineChars="200" w:firstLine="482"/>
        <w:rPr>
          <w:rFonts w:ascii="宋体" w:hAnsi="宋体"/>
          <w:b/>
          <w:sz w:val="24"/>
        </w:rPr>
      </w:pPr>
      <w:r w:rsidRPr="008125C0">
        <w:rPr>
          <w:rFonts w:ascii="宋体" w:hAnsi="宋体" w:hint="eastAsia"/>
          <w:b/>
          <w:sz w:val="24"/>
        </w:rPr>
        <w:t>二、乙方人员违章</w:t>
      </w:r>
      <w:r w:rsidR="00DC1B03" w:rsidRPr="008125C0">
        <w:rPr>
          <w:rFonts w:ascii="宋体" w:hAnsi="宋体" w:hint="eastAsia"/>
          <w:b/>
          <w:sz w:val="24"/>
        </w:rPr>
        <w:t>考核要求</w:t>
      </w:r>
    </w:p>
    <w:p w:rsidR="00337646" w:rsidRDefault="002E167B" w:rsidP="00337646">
      <w:pPr>
        <w:spacing w:beforeLines="50" w:before="120"/>
        <w:ind w:firstLineChars="200" w:firstLine="480"/>
        <w:rPr>
          <w:rFonts w:ascii="宋体" w:hAnsi="宋体"/>
          <w:sz w:val="24"/>
        </w:rPr>
      </w:pPr>
      <w:r w:rsidRPr="008125C0">
        <w:rPr>
          <w:rFonts w:ascii="宋体" w:hAnsi="宋体" w:hint="eastAsia"/>
          <w:sz w:val="24"/>
        </w:rPr>
        <w:t>甲方对口管理处室、安全监督管理处室等</w:t>
      </w:r>
      <w:r w:rsidR="00337646">
        <w:rPr>
          <w:rFonts w:ascii="宋体" w:hAnsi="宋体" w:hint="eastAsia"/>
          <w:sz w:val="24"/>
        </w:rPr>
        <w:t>各处室</w:t>
      </w:r>
      <w:r w:rsidRPr="008125C0">
        <w:rPr>
          <w:rFonts w:ascii="宋体" w:hAnsi="宋体" w:hint="eastAsia"/>
          <w:sz w:val="24"/>
        </w:rPr>
        <w:t>有权对承包商作业现场的安全状况和从业人员安全行为进行监督检查。</w:t>
      </w:r>
      <w:r w:rsidR="00337646" w:rsidRPr="00337646">
        <w:rPr>
          <w:rFonts w:ascii="宋体" w:hAnsi="宋体" w:hint="eastAsia"/>
          <w:sz w:val="24"/>
        </w:rPr>
        <w:t>如发现违反安全规定的现象，有权制止，并根据合同相关条款及《安全质量环保违章管理》</w:t>
      </w:r>
      <w:r w:rsidR="00337646">
        <w:rPr>
          <w:rFonts w:ascii="宋体" w:hAnsi="宋体" w:hint="eastAsia"/>
          <w:sz w:val="24"/>
        </w:rPr>
        <w:t>（</w:t>
      </w:r>
      <w:r w:rsidR="00337646" w:rsidRPr="00EF4C49">
        <w:rPr>
          <w:rFonts w:ascii="宋体" w:hAnsi="宋体"/>
          <w:sz w:val="24"/>
        </w:rPr>
        <w:t>IS-TW-112</w:t>
      </w:r>
      <w:r w:rsidR="00337646">
        <w:rPr>
          <w:rFonts w:ascii="宋体" w:hAnsi="宋体" w:hint="eastAsia"/>
          <w:sz w:val="24"/>
        </w:rPr>
        <w:t>）</w:t>
      </w:r>
      <w:r w:rsidR="00337646" w:rsidRPr="00337646">
        <w:rPr>
          <w:rFonts w:ascii="宋体" w:hAnsi="宋体" w:hint="eastAsia"/>
          <w:sz w:val="24"/>
        </w:rPr>
        <w:t>等JNPC现场管理规定做出要求整改、经济处罚、安全约谈、反思汇报、停工等处理措施</w:t>
      </w:r>
      <w:r w:rsidR="00337646">
        <w:rPr>
          <w:rFonts w:ascii="宋体" w:hAnsi="宋体" w:hint="eastAsia"/>
          <w:sz w:val="24"/>
        </w:rPr>
        <w:t>。</w:t>
      </w:r>
    </w:p>
    <w:p w:rsidR="00BB6C47" w:rsidRPr="00874E62" w:rsidRDefault="00BB6C47" w:rsidP="00874E62">
      <w:pPr>
        <w:spacing w:beforeLines="50" w:before="120"/>
        <w:ind w:firstLineChars="200" w:firstLine="482"/>
        <w:rPr>
          <w:rFonts w:ascii="宋体" w:hAnsi="宋体"/>
          <w:b/>
          <w:sz w:val="24"/>
        </w:rPr>
      </w:pPr>
      <w:r w:rsidRPr="00874E62">
        <w:rPr>
          <w:rFonts w:ascii="宋体" w:hAnsi="宋体" w:hint="eastAsia"/>
          <w:b/>
          <w:sz w:val="24"/>
        </w:rPr>
        <w:t>三、大修承包商</w:t>
      </w:r>
      <w:r>
        <w:rPr>
          <w:rFonts w:ascii="宋体" w:hAnsi="宋体" w:hint="eastAsia"/>
          <w:b/>
          <w:sz w:val="24"/>
        </w:rPr>
        <w:t>绩效</w:t>
      </w:r>
      <w:r w:rsidRPr="00874E62">
        <w:rPr>
          <w:rFonts w:ascii="宋体" w:hAnsi="宋体" w:hint="eastAsia"/>
          <w:b/>
          <w:sz w:val="24"/>
        </w:rPr>
        <w:t>星级评定</w:t>
      </w:r>
    </w:p>
    <w:p w:rsidR="00495054" w:rsidRDefault="00BB6C47" w:rsidP="00BB6C47">
      <w:pPr>
        <w:spacing w:beforeLines="50" w:before="120"/>
        <w:ind w:firstLineChars="200" w:firstLine="480"/>
        <w:rPr>
          <w:rFonts w:ascii="宋体" w:hAnsi="宋体"/>
          <w:sz w:val="24"/>
        </w:rPr>
      </w:pPr>
      <w:r>
        <w:rPr>
          <w:rFonts w:ascii="宋体" w:hAnsi="宋体" w:hint="eastAsia"/>
          <w:sz w:val="24"/>
        </w:rPr>
        <w:t>如乙方参加电站机组大修，</w:t>
      </w:r>
      <w:r w:rsidRPr="00BB6C47">
        <w:rPr>
          <w:rFonts w:ascii="宋体" w:hAnsi="宋体" w:hint="eastAsia"/>
          <w:sz w:val="24"/>
        </w:rPr>
        <w:t>为激励</w:t>
      </w:r>
      <w:r>
        <w:rPr>
          <w:rFonts w:ascii="宋体" w:hAnsi="宋体" w:hint="eastAsia"/>
          <w:sz w:val="24"/>
        </w:rPr>
        <w:t>乙方</w:t>
      </w:r>
      <w:r w:rsidRPr="00BB6C47">
        <w:rPr>
          <w:rFonts w:ascii="宋体" w:hAnsi="宋体" w:hint="eastAsia"/>
          <w:sz w:val="24"/>
        </w:rPr>
        <w:t>不断提升自身的大修工作管理水平，依据JNPC《大修服务协作单位绩效星级评定》（PM-TW-1205）程序规定，甲方开展大修服务协作单位绩效星级评定工作，从质量、安防、进度、核安全和创新等领域对</w:t>
      </w:r>
      <w:r>
        <w:rPr>
          <w:rFonts w:ascii="宋体" w:hAnsi="宋体" w:hint="eastAsia"/>
          <w:sz w:val="24"/>
        </w:rPr>
        <w:t>乙方</w:t>
      </w:r>
      <w:r w:rsidRPr="00BB6C47">
        <w:rPr>
          <w:rFonts w:ascii="宋体" w:hAnsi="宋体" w:hint="eastAsia"/>
          <w:sz w:val="24"/>
        </w:rPr>
        <w:t>的大修过程管理</w:t>
      </w:r>
    </w:p>
    <w:p w:rsidR="00495054" w:rsidRDefault="00495054" w:rsidP="00495054">
      <w:pPr>
        <w:spacing w:beforeLines="50" w:before="120"/>
        <w:rPr>
          <w:rFonts w:ascii="宋体" w:hAnsi="宋体"/>
          <w:sz w:val="24"/>
        </w:rPr>
      </w:pPr>
    </w:p>
    <w:p w:rsidR="00BB6C47" w:rsidRDefault="00BB6C47" w:rsidP="00960009">
      <w:pPr>
        <w:jc w:val="left"/>
        <w:rPr>
          <w:rFonts w:ascii="宋体" w:hAnsi="宋体"/>
          <w:sz w:val="24"/>
        </w:rPr>
      </w:pPr>
      <w:r w:rsidRPr="00BB6C47">
        <w:rPr>
          <w:rFonts w:ascii="宋体" w:hAnsi="宋体" w:hint="eastAsia"/>
          <w:sz w:val="24"/>
        </w:rPr>
        <w:lastRenderedPageBreak/>
        <w:t>表现和绩效进行评定</w:t>
      </w:r>
      <w:r>
        <w:rPr>
          <w:rFonts w:ascii="宋体" w:hAnsi="宋体" w:hint="eastAsia"/>
          <w:sz w:val="24"/>
        </w:rPr>
        <w:t>。被评为五</w:t>
      </w:r>
      <w:r w:rsidRPr="00BB6C47">
        <w:rPr>
          <w:rFonts w:ascii="宋体" w:hAnsi="宋体" w:hint="eastAsia"/>
          <w:sz w:val="24"/>
        </w:rPr>
        <w:t>星</w:t>
      </w:r>
      <w:r>
        <w:rPr>
          <w:rFonts w:ascii="宋体" w:hAnsi="宋体" w:hint="eastAsia"/>
          <w:sz w:val="24"/>
        </w:rPr>
        <w:t>或</w:t>
      </w:r>
      <w:r w:rsidRPr="00BB6C47">
        <w:rPr>
          <w:rFonts w:ascii="宋体" w:hAnsi="宋体" w:hint="eastAsia"/>
          <w:sz w:val="24"/>
        </w:rPr>
        <w:t>四星级单位</w:t>
      </w:r>
      <w:r>
        <w:rPr>
          <w:rFonts w:ascii="宋体" w:hAnsi="宋体" w:hint="eastAsia"/>
          <w:sz w:val="24"/>
        </w:rPr>
        <w:t>的</w:t>
      </w:r>
      <w:r w:rsidRPr="00BB6C47">
        <w:rPr>
          <w:rFonts w:ascii="宋体" w:hAnsi="宋体" w:hint="eastAsia"/>
          <w:sz w:val="24"/>
        </w:rPr>
        <w:t>，</w:t>
      </w:r>
      <w:r>
        <w:rPr>
          <w:rFonts w:ascii="宋体" w:hAnsi="宋体" w:hint="eastAsia"/>
          <w:sz w:val="24"/>
        </w:rPr>
        <w:t>由</w:t>
      </w:r>
      <w:r w:rsidR="00387AC0">
        <w:rPr>
          <w:rFonts w:ascii="宋体" w:hAnsi="宋体" w:hint="eastAsia"/>
          <w:sz w:val="24"/>
        </w:rPr>
        <w:t>甲方</w:t>
      </w:r>
      <w:r w:rsidRPr="00BB6C47">
        <w:rPr>
          <w:rFonts w:ascii="宋体" w:hAnsi="宋体" w:hint="eastAsia"/>
          <w:sz w:val="24"/>
        </w:rPr>
        <w:t>给予奖励。具体依据每次大修生效的绩效星级评定细则实施。</w:t>
      </w:r>
    </w:p>
    <w:p w:rsidR="00DC1B03" w:rsidRPr="008125C0" w:rsidRDefault="00BB6C47" w:rsidP="00874E62">
      <w:pPr>
        <w:spacing w:beforeLines="50" w:before="120"/>
        <w:ind w:firstLineChars="200" w:firstLine="480"/>
        <w:rPr>
          <w:rFonts w:ascii="宋体" w:hAnsi="宋体"/>
          <w:b/>
          <w:sz w:val="24"/>
        </w:rPr>
      </w:pPr>
      <w:r>
        <w:rPr>
          <w:rFonts w:ascii="宋体" w:hAnsi="宋体" w:hint="eastAsia"/>
          <w:sz w:val="24"/>
        </w:rPr>
        <w:t>四</w:t>
      </w:r>
      <w:r w:rsidR="00DC1B03" w:rsidRPr="008125C0">
        <w:rPr>
          <w:rFonts w:ascii="宋体" w:hAnsi="宋体" w:hint="eastAsia"/>
          <w:b/>
          <w:sz w:val="24"/>
        </w:rPr>
        <w:t>、</w:t>
      </w:r>
      <w:r w:rsidR="00C109A3" w:rsidRPr="008125C0">
        <w:rPr>
          <w:rFonts w:ascii="宋体" w:hAnsi="宋体" w:hint="eastAsia"/>
          <w:b/>
          <w:sz w:val="24"/>
        </w:rPr>
        <w:t>其他规定</w:t>
      </w:r>
    </w:p>
    <w:p w:rsidR="00C109A3" w:rsidRDefault="00E97AAB" w:rsidP="00C109A3">
      <w:pPr>
        <w:spacing w:beforeLines="50" w:before="120"/>
        <w:ind w:firstLineChars="200" w:firstLine="480"/>
        <w:rPr>
          <w:rFonts w:ascii="宋体" w:hAnsi="宋体"/>
          <w:sz w:val="24"/>
        </w:rPr>
      </w:pPr>
      <w:r w:rsidRPr="008125C0">
        <w:rPr>
          <w:rFonts w:ascii="宋体" w:hAnsi="宋体"/>
          <w:sz w:val="24"/>
        </w:rPr>
        <w:t>1.</w:t>
      </w:r>
      <w:r w:rsidR="00C109A3" w:rsidRPr="008125C0">
        <w:rPr>
          <w:rFonts w:ascii="宋体" w:hAnsi="宋体" w:hint="eastAsia"/>
          <w:sz w:val="24"/>
        </w:rPr>
        <w:t>同时符合本细则</w:t>
      </w:r>
      <w:r w:rsidR="00901BC1">
        <w:rPr>
          <w:rFonts w:ascii="宋体" w:hAnsi="宋体" w:hint="eastAsia"/>
          <w:sz w:val="24"/>
        </w:rPr>
        <w:t>“</w:t>
      </w:r>
      <w:r w:rsidR="00901BC1" w:rsidRPr="00874E62">
        <w:rPr>
          <w:rFonts w:ascii="宋体" w:hAnsi="宋体" w:hint="eastAsia"/>
          <w:sz w:val="24"/>
        </w:rPr>
        <w:t>一、乙方违反《安全、健康、环保和应急响应协议》的考核要求</w:t>
      </w:r>
      <w:r w:rsidR="00901BC1">
        <w:rPr>
          <w:rFonts w:ascii="宋体" w:hAnsi="宋体" w:hint="eastAsia"/>
          <w:sz w:val="24"/>
        </w:rPr>
        <w:t>”</w:t>
      </w:r>
      <w:r w:rsidR="00C109A3" w:rsidRPr="008125C0">
        <w:rPr>
          <w:rFonts w:ascii="宋体" w:hAnsi="宋体" w:hint="eastAsia"/>
          <w:sz w:val="24"/>
        </w:rPr>
        <w:t>和</w:t>
      </w:r>
      <w:r w:rsidR="00901BC1">
        <w:rPr>
          <w:rFonts w:ascii="宋体" w:hAnsi="宋体" w:hint="eastAsia"/>
          <w:sz w:val="24"/>
        </w:rPr>
        <w:t>“</w:t>
      </w:r>
      <w:r w:rsidR="00901BC1" w:rsidRPr="00901BC1">
        <w:rPr>
          <w:rFonts w:ascii="宋体" w:hAnsi="宋体" w:hint="eastAsia"/>
          <w:sz w:val="24"/>
        </w:rPr>
        <w:t>二、乙方人员违章考核要求</w:t>
      </w:r>
      <w:r w:rsidR="00901BC1">
        <w:rPr>
          <w:rFonts w:ascii="宋体" w:hAnsi="宋体" w:hint="eastAsia"/>
          <w:sz w:val="24"/>
        </w:rPr>
        <w:t>”</w:t>
      </w:r>
      <w:r w:rsidR="00C109A3" w:rsidRPr="008125C0">
        <w:rPr>
          <w:rFonts w:ascii="宋体" w:hAnsi="宋体" w:hint="eastAsia"/>
          <w:sz w:val="24"/>
        </w:rPr>
        <w:t>的，按照处罚额度较大的进行考核。</w:t>
      </w:r>
      <w:bookmarkStart w:id="87" w:name="_Toc10887362"/>
      <w:bookmarkStart w:id="88" w:name="_Toc12632139"/>
    </w:p>
    <w:p w:rsidR="00C40B88" w:rsidRPr="008A6F07" w:rsidRDefault="00E97AAB" w:rsidP="006C46E7">
      <w:pPr>
        <w:spacing w:beforeLines="50" w:before="120"/>
        <w:ind w:firstLineChars="200" w:firstLine="480"/>
      </w:pPr>
      <w:r>
        <w:rPr>
          <w:rFonts w:ascii="宋体" w:hAnsi="宋体" w:hint="eastAsia"/>
          <w:sz w:val="24"/>
        </w:rPr>
        <w:t>2</w:t>
      </w:r>
      <w:r w:rsidRPr="008125C0">
        <w:rPr>
          <w:rFonts w:ascii="宋体" w:hAnsi="宋体"/>
          <w:sz w:val="24"/>
        </w:rPr>
        <w:t>.</w:t>
      </w:r>
      <w:r>
        <w:rPr>
          <w:rFonts w:ascii="宋体" w:hAnsi="宋体" w:hint="eastAsia"/>
          <w:sz w:val="24"/>
        </w:rPr>
        <w:t>乙方</w:t>
      </w:r>
      <w:r w:rsidRPr="00E97AAB">
        <w:rPr>
          <w:rFonts w:ascii="宋体" w:hAnsi="宋体" w:hint="eastAsia"/>
          <w:sz w:val="24"/>
        </w:rPr>
        <w:t>可以按照其内部管理制度对本单位</w:t>
      </w:r>
      <w:r>
        <w:rPr>
          <w:rFonts w:ascii="宋体" w:hAnsi="宋体" w:hint="eastAsia"/>
          <w:sz w:val="24"/>
        </w:rPr>
        <w:t>违章</w:t>
      </w:r>
      <w:r w:rsidRPr="00E97AAB">
        <w:rPr>
          <w:rFonts w:ascii="宋体" w:hAnsi="宋体" w:hint="eastAsia"/>
          <w:sz w:val="24"/>
        </w:rPr>
        <w:t>责任人员进行考核，但不得将扣除的合同款转嫁到责任人员个人</w:t>
      </w:r>
      <w:r w:rsidR="00E51B43">
        <w:rPr>
          <w:rFonts w:ascii="宋体" w:hAnsi="宋体" w:hint="eastAsia"/>
          <w:sz w:val="24"/>
        </w:rPr>
        <w:t>。</w:t>
      </w:r>
      <w:bookmarkStart w:id="89" w:name="_Toc66797056"/>
      <w:bookmarkStart w:id="90" w:name="_Toc66797057"/>
      <w:bookmarkStart w:id="91" w:name="_Toc66797062"/>
      <w:bookmarkStart w:id="92" w:name="_Toc66797066"/>
      <w:bookmarkStart w:id="93" w:name="_Toc66797070"/>
      <w:bookmarkStart w:id="94" w:name="_Toc66797074"/>
      <w:bookmarkStart w:id="95" w:name="_Toc66797078"/>
      <w:bookmarkStart w:id="96" w:name="_Toc66797082"/>
      <w:bookmarkStart w:id="97" w:name="_Toc66797086"/>
      <w:bookmarkStart w:id="98" w:name="_Toc66797090"/>
      <w:bookmarkStart w:id="99" w:name="_Toc66797094"/>
      <w:bookmarkStart w:id="100" w:name="_Toc66797098"/>
      <w:bookmarkStart w:id="101" w:name="_Toc66797102"/>
      <w:bookmarkStart w:id="102" w:name="_Toc66797103"/>
      <w:bookmarkStart w:id="103" w:name="_Toc66797108"/>
      <w:bookmarkStart w:id="104" w:name="_Toc66797112"/>
      <w:bookmarkStart w:id="105" w:name="_Toc66797116"/>
      <w:bookmarkStart w:id="106" w:name="_Toc66797120"/>
      <w:bookmarkStart w:id="107" w:name="_Toc66797124"/>
      <w:bookmarkStart w:id="108" w:name="_Toc66797128"/>
      <w:bookmarkStart w:id="109" w:name="_Toc66797132"/>
      <w:bookmarkStart w:id="110" w:name="_Toc66797136"/>
      <w:bookmarkStart w:id="111" w:name="_Toc66797140"/>
      <w:bookmarkStart w:id="112" w:name="_Toc66797144"/>
      <w:bookmarkStart w:id="113" w:name="_Toc66797148"/>
      <w:bookmarkStart w:id="114" w:name="_Toc66797152"/>
      <w:bookmarkStart w:id="115" w:name="_Toc66797156"/>
      <w:bookmarkStart w:id="116" w:name="_Toc66797160"/>
      <w:bookmarkStart w:id="117" w:name="_Toc66797164"/>
      <w:bookmarkStart w:id="118" w:name="_Toc66797169"/>
      <w:bookmarkStart w:id="119" w:name="_Toc66797173"/>
      <w:bookmarkStart w:id="120" w:name="_Toc66797177"/>
      <w:bookmarkStart w:id="121" w:name="_Toc66797181"/>
      <w:bookmarkStart w:id="122" w:name="_Toc66797185"/>
      <w:bookmarkStart w:id="123" w:name="_Toc66797189"/>
      <w:bookmarkStart w:id="124" w:name="_Toc66797193"/>
      <w:bookmarkStart w:id="125" w:name="_Toc66797197"/>
      <w:bookmarkStart w:id="126" w:name="_Toc66797201"/>
      <w:bookmarkStart w:id="127" w:name="_Toc66797205"/>
      <w:bookmarkStart w:id="128" w:name="_Toc66797209"/>
      <w:bookmarkStart w:id="129" w:name="_Toc66797214"/>
      <w:bookmarkStart w:id="130" w:name="_Toc66797218"/>
      <w:bookmarkStart w:id="131" w:name="_Toc66797222"/>
      <w:bookmarkStart w:id="132" w:name="_Toc66797226"/>
      <w:bookmarkStart w:id="133" w:name="_Toc66797230"/>
      <w:bookmarkStart w:id="134" w:name="_Toc66797234"/>
      <w:bookmarkStart w:id="135" w:name="_Toc66797238"/>
      <w:bookmarkStart w:id="136" w:name="_Toc66797242"/>
      <w:bookmarkStart w:id="137" w:name="_Toc66797247"/>
      <w:bookmarkStart w:id="138" w:name="_Toc66797251"/>
      <w:bookmarkStart w:id="139" w:name="_Toc66797255"/>
      <w:bookmarkStart w:id="140" w:name="_Toc66797259"/>
      <w:bookmarkStart w:id="141" w:name="_Toc66797263"/>
      <w:bookmarkStart w:id="142" w:name="_Toc66797267"/>
      <w:bookmarkStart w:id="143" w:name="_Toc66797271"/>
      <w:bookmarkStart w:id="144" w:name="_Toc66797275"/>
      <w:bookmarkStart w:id="145" w:name="_Toc66797279"/>
      <w:bookmarkStart w:id="146" w:name="_Toc66797283"/>
      <w:bookmarkStart w:id="147" w:name="_Toc66797287"/>
      <w:bookmarkStart w:id="148" w:name="_Toc66797291"/>
      <w:bookmarkStart w:id="149" w:name="_Toc66797295"/>
      <w:bookmarkStart w:id="150" w:name="_Toc66797299"/>
      <w:bookmarkStart w:id="151" w:name="_Toc66797303"/>
      <w:bookmarkStart w:id="152" w:name="_Toc66797307"/>
      <w:bookmarkStart w:id="153" w:name="_Toc66797311"/>
      <w:bookmarkStart w:id="154" w:name="_Toc66797315"/>
      <w:bookmarkStart w:id="155" w:name="_Toc66797319"/>
      <w:bookmarkStart w:id="156" w:name="_Toc66797323"/>
      <w:bookmarkStart w:id="157" w:name="_Toc66797327"/>
      <w:bookmarkStart w:id="158" w:name="_Toc66797331"/>
      <w:bookmarkStart w:id="159" w:name="_Toc66797335"/>
      <w:bookmarkStart w:id="160" w:name="_Toc66797339"/>
      <w:bookmarkStart w:id="161" w:name="_Toc66797343"/>
      <w:bookmarkStart w:id="162" w:name="_Toc66797347"/>
      <w:bookmarkStart w:id="163" w:name="_Toc66797351"/>
      <w:bookmarkStart w:id="164" w:name="_Toc66797355"/>
      <w:bookmarkStart w:id="165" w:name="_Toc66797359"/>
      <w:bookmarkStart w:id="166" w:name="_Toc66797363"/>
      <w:bookmarkStart w:id="167" w:name="_Toc66797367"/>
      <w:bookmarkStart w:id="168" w:name="_Toc66797371"/>
      <w:bookmarkStart w:id="169" w:name="_Toc66797375"/>
      <w:bookmarkStart w:id="170" w:name="_Toc66797379"/>
      <w:bookmarkStart w:id="171" w:name="_Toc66797383"/>
      <w:bookmarkStart w:id="172" w:name="_Toc66797387"/>
      <w:bookmarkStart w:id="173" w:name="_Toc66797391"/>
      <w:bookmarkStart w:id="174" w:name="_Toc66797395"/>
      <w:bookmarkStart w:id="175" w:name="_Toc66797399"/>
      <w:bookmarkStart w:id="176" w:name="_Toc66797403"/>
      <w:bookmarkStart w:id="177" w:name="_Toc66797407"/>
      <w:bookmarkStart w:id="178" w:name="_Toc66797411"/>
      <w:bookmarkStart w:id="179" w:name="_Toc66797415"/>
      <w:bookmarkStart w:id="180" w:name="_Toc66797419"/>
      <w:bookmarkStart w:id="181" w:name="_Toc66797423"/>
      <w:bookmarkStart w:id="182" w:name="_Toc66797427"/>
      <w:bookmarkStart w:id="183" w:name="_Toc66797431"/>
      <w:bookmarkStart w:id="184" w:name="_Toc66797435"/>
      <w:bookmarkStart w:id="185" w:name="_Toc66797439"/>
      <w:bookmarkStart w:id="186" w:name="_Toc66797443"/>
      <w:bookmarkStart w:id="187" w:name="_Toc66797447"/>
      <w:bookmarkStart w:id="188" w:name="_Toc66797451"/>
      <w:bookmarkStart w:id="189" w:name="_Toc66797455"/>
      <w:bookmarkStart w:id="190" w:name="_Toc66797459"/>
      <w:bookmarkStart w:id="191" w:name="_Toc66797463"/>
      <w:bookmarkStart w:id="192" w:name="_Toc66797467"/>
      <w:bookmarkStart w:id="193" w:name="_Toc66797471"/>
      <w:bookmarkStart w:id="194" w:name="_Toc66797475"/>
      <w:bookmarkStart w:id="195" w:name="_Toc66797476"/>
      <w:bookmarkStart w:id="196" w:name="_Toc66797477"/>
      <w:bookmarkStart w:id="197" w:name="_Toc66797478"/>
      <w:bookmarkStart w:id="198" w:name="_Toc66797504"/>
      <w:bookmarkStart w:id="199" w:name="_Toc66797512"/>
      <w:bookmarkStart w:id="200" w:name="_Toc66797526"/>
      <w:bookmarkEnd w:id="7"/>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sectPr w:rsidR="00C40B88" w:rsidRPr="008A6F07" w:rsidSect="00531A43">
      <w:headerReference w:type="first" r:id="rId9"/>
      <w:pgSz w:w="11907" w:h="16840" w:code="9"/>
      <w:pgMar w:top="1418" w:right="1134" w:bottom="1418" w:left="1134" w:header="851" w:footer="0" w:gutter="284"/>
      <w:pgNumType w:start="18"/>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3E4" w:rsidRDefault="002863E4">
      <w:r>
        <w:separator/>
      </w:r>
    </w:p>
  </w:endnote>
  <w:endnote w:type="continuationSeparator" w:id="0">
    <w:p w:rsidR="002863E4" w:rsidRDefault="0028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方正舒体"/>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3E4" w:rsidRDefault="002863E4">
      <w:r>
        <w:separator/>
      </w:r>
    </w:p>
  </w:footnote>
  <w:footnote w:type="continuationSeparator" w:id="0">
    <w:p w:rsidR="002863E4" w:rsidRDefault="00286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D2" w:rsidRPr="004A1B6E" w:rsidRDefault="003E14D2" w:rsidP="004A1B6E">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1B0ABA8"/>
    <w:lvl w:ilvl="0">
      <w:start w:val="5"/>
      <w:numFmt w:val="upperLetter"/>
      <w:lvlText w:val="%1."/>
      <w:lvlJc w:val="left"/>
      <w:pPr>
        <w:ind w:left="360" w:hanging="360"/>
      </w:pPr>
      <w:rPr>
        <w:rFonts w:cs="Times New Roman" w:hint="default"/>
        <w:b/>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032C3E"/>
    <w:multiLevelType w:val="multilevel"/>
    <w:tmpl w:val="0C1253E2"/>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lvlText w:val="(%5)"/>
      <w:lvlJc w:val="left"/>
      <w:pPr>
        <w:ind w:left="284" w:firstLine="0"/>
      </w:pPr>
      <w:rPr>
        <w:rFonts w:hint="default"/>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4">
    <w:nsid w:val="492C6701"/>
    <w:multiLevelType w:val="hybridMultilevel"/>
    <w:tmpl w:val="9A9E49BC"/>
    <w:lvl w:ilvl="0" w:tplc="B82E6F06">
      <w:start w:val="1"/>
      <w:numFmt w:val="lowerLetter"/>
      <w:pStyle w:val="ARISSYMBOL2"/>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6">
    <w:nsid w:val="5710E8A5"/>
    <w:multiLevelType w:val="singleLevel"/>
    <w:tmpl w:val="5710E8A5"/>
    <w:lvl w:ilvl="0">
      <w:start w:val="1"/>
      <w:numFmt w:val="decimal"/>
      <w:suff w:val="nothing"/>
      <w:lvlText w:val="%1．"/>
      <w:lvlJc w:val="left"/>
      <w:pPr>
        <w:ind w:left="0" w:firstLine="400"/>
      </w:pPr>
      <w:rPr>
        <w:rFonts w:hint="default"/>
      </w:rPr>
    </w:lvl>
  </w:abstractNum>
  <w:abstractNum w:abstractNumId="7">
    <w:nsid w:val="62AE6AF0"/>
    <w:multiLevelType w:val="hybridMultilevel"/>
    <w:tmpl w:val="7BBEAF3C"/>
    <w:lvl w:ilvl="0" w:tplc="04090019">
      <w:start w:val="1"/>
      <w:numFmt w:val="lowerLetter"/>
      <w:lvlText w:val="%1)"/>
      <w:lvlJc w:val="left"/>
      <w:pPr>
        <w:ind w:left="1470" w:hanging="420"/>
      </w:pPr>
    </w:lvl>
    <w:lvl w:ilvl="1" w:tplc="04090019" w:tentative="1">
      <w:start w:val="1"/>
      <w:numFmt w:val="lowerLetter"/>
      <w:lvlText w:val="%2)"/>
      <w:lvlJc w:val="left"/>
      <w:pPr>
        <w:ind w:left="2302" w:hanging="420"/>
      </w:pPr>
    </w:lvl>
    <w:lvl w:ilvl="2" w:tplc="0409001B" w:tentative="1">
      <w:start w:val="1"/>
      <w:numFmt w:val="lowerRoman"/>
      <w:lvlText w:val="%3."/>
      <w:lvlJc w:val="right"/>
      <w:pPr>
        <w:ind w:left="2722" w:hanging="420"/>
      </w:pPr>
    </w:lvl>
    <w:lvl w:ilvl="3" w:tplc="0409000F" w:tentative="1">
      <w:start w:val="1"/>
      <w:numFmt w:val="decimal"/>
      <w:lvlText w:val="%4."/>
      <w:lvlJc w:val="left"/>
      <w:pPr>
        <w:ind w:left="3142" w:hanging="420"/>
      </w:pPr>
    </w:lvl>
    <w:lvl w:ilvl="4" w:tplc="04090019" w:tentative="1">
      <w:start w:val="1"/>
      <w:numFmt w:val="lowerLetter"/>
      <w:lvlText w:val="%5)"/>
      <w:lvlJc w:val="left"/>
      <w:pPr>
        <w:ind w:left="3562" w:hanging="420"/>
      </w:pPr>
    </w:lvl>
    <w:lvl w:ilvl="5" w:tplc="0409001B" w:tentative="1">
      <w:start w:val="1"/>
      <w:numFmt w:val="lowerRoman"/>
      <w:lvlText w:val="%6."/>
      <w:lvlJc w:val="right"/>
      <w:pPr>
        <w:ind w:left="3982" w:hanging="420"/>
      </w:pPr>
    </w:lvl>
    <w:lvl w:ilvl="6" w:tplc="0409000F" w:tentative="1">
      <w:start w:val="1"/>
      <w:numFmt w:val="decimal"/>
      <w:lvlText w:val="%7."/>
      <w:lvlJc w:val="left"/>
      <w:pPr>
        <w:ind w:left="4402" w:hanging="420"/>
      </w:pPr>
    </w:lvl>
    <w:lvl w:ilvl="7" w:tplc="04090019" w:tentative="1">
      <w:start w:val="1"/>
      <w:numFmt w:val="lowerLetter"/>
      <w:lvlText w:val="%8)"/>
      <w:lvlJc w:val="left"/>
      <w:pPr>
        <w:ind w:left="4822" w:hanging="420"/>
      </w:pPr>
    </w:lvl>
    <w:lvl w:ilvl="8" w:tplc="0409001B" w:tentative="1">
      <w:start w:val="1"/>
      <w:numFmt w:val="lowerRoman"/>
      <w:lvlText w:val="%9."/>
      <w:lvlJc w:val="right"/>
      <w:pPr>
        <w:ind w:left="5242" w:hanging="420"/>
      </w:pPr>
    </w:lvl>
  </w:abstractNum>
  <w:abstractNum w:abstractNumId="8">
    <w:nsid w:val="68B65F00"/>
    <w:multiLevelType w:val="hybridMultilevel"/>
    <w:tmpl w:val="7D28FF9A"/>
    <w:lvl w:ilvl="0" w:tplc="51EC562A">
      <w:start w:val="1"/>
      <w:numFmt w:val="decimal"/>
      <w:pStyle w:val="a"/>
      <w:lvlText w:val="%1）"/>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8"/>
  </w:num>
  <w:num w:numId="2">
    <w:abstractNumId w:val="0"/>
  </w:num>
  <w:num w:numId="3">
    <w:abstractNumId w:val="4"/>
  </w:num>
  <w:num w:numId="4">
    <w:abstractNumId w:val="5"/>
  </w:num>
  <w:num w:numId="5">
    <w:abstractNumId w:val="6"/>
  </w:num>
  <w:num w:numId="6">
    <w:abstractNumId w:val="1"/>
  </w:num>
  <w:num w:numId="7">
    <w:abstractNumId w:val="3"/>
  </w:num>
  <w:num w:numId="8">
    <w:abstractNumId w:val="2"/>
  </w:num>
  <w:num w:numId="9">
    <w:abstractNumId w:val="5"/>
  </w:num>
  <w:num w:numId="10">
    <w:abstractNumId w:val="5"/>
  </w:num>
  <w:num w:numId="11">
    <w:abstractNumId w:val="7"/>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8"/>
    <w:rsid w:val="0000453B"/>
    <w:rsid w:val="00006017"/>
    <w:rsid w:val="000102F2"/>
    <w:rsid w:val="00011282"/>
    <w:rsid w:val="0001176C"/>
    <w:rsid w:val="00011869"/>
    <w:rsid w:val="000226A6"/>
    <w:rsid w:val="00026131"/>
    <w:rsid w:val="000303DB"/>
    <w:rsid w:val="000321B8"/>
    <w:rsid w:val="000348EA"/>
    <w:rsid w:val="00040C31"/>
    <w:rsid w:val="0004555C"/>
    <w:rsid w:val="00047564"/>
    <w:rsid w:val="000477C3"/>
    <w:rsid w:val="0005059E"/>
    <w:rsid w:val="0005087A"/>
    <w:rsid w:val="00052A38"/>
    <w:rsid w:val="000563F9"/>
    <w:rsid w:val="000577C2"/>
    <w:rsid w:val="0006508E"/>
    <w:rsid w:val="00072849"/>
    <w:rsid w:val="00075D6A"/>
    <w:rsid w:val="00085B14"/>
    <w:rsid w:val="00085F77"/>
    <w:rsid w:val="000A5F0D"/>
    <w:rsid w:val="000A7B8B"/>
    <w:rsid w:val="000E0698"/>
    <w:rsid w:val="000E2860"/>
    <w:rsid w:val="000E68F5"/>
    <w:rsid w:val="000E7213"/>
    <w:rsid w:val="0010711C"/>
    <w:rsid w:val="00113916"/>
    <w:rsid w:val="001143E0"/>
    <w:rsid w:val="001171D0"/>
    <w:rsid w:val="001216EC"/>
    <w:rsid w:val="00123189"/>
    <w:rsid w:val="00124355"/>
    <w:rsid w:val="00133086"/>
    <w:rsid w:val="00133DA2"/>
    <w:rsid w:val="00142170"/>
    <w:rsid w:val="00150199"/>
    <w:rsid w:val="0015470B"/>
    <w:rsid w:val="00157364"/>
    <w:rsid w:val="00164574"/>
    <w:rsid w:val="00164E5E"/>
    <w:rsid w:val="001715D9"/>
    <w:rsid w:val="0017163B"/>
    <w:rsid w:val="00171AAF"/>
    <w:rsid w:val="001821E8"/>
    <w:rsid w:val="001830DC"/>
    <w:rsid w:val="00187082"/>
    <w:rsid w:val="00187341"/>
    <w:rsid w:val="001878D1"/>
    <w:rsid w:val="00193643"/>
    <w:rsid w:val="001A06E0"/>
    <w:rsid w:val="001A2284"/>
    <w:rsid w:val="001A4F21"/>
    <w:rsid w:val="001A50D9"/>
    <w:rsid w:val="001B26F1"/>
    <w:rsid w:val="001C2831"/>
    <w:rsid w:val="001C5036"/>
    <w:rsid w:val="001D10B1"/>
    <w:rsid w:val="001D3833"/>
    <w:rsid w:val="001D4772"/>
    <w:rsid w:val="001E1096"/>
    <w:rsid w:val="001E1A88"/>
    <w:rsid w:val="001E4FF2"/>
    <w:rsid w:val="001F02D1"/>
    <w:rsid w:val="002031F6"/>
    <w:rsid w:val="0020558C"/>
    <w:rsid w:val="0020715A"/>
    <w:rsid w:val="002112B5"/>
    <w:rsid w:val="0021161C"/>
    <w:rsid w:val="0021457C"/>
    <w:rsid w:val="00230DFB"/>
    <w:rsid w:val="002456A4"/>
    <w:rsid w:val="00247F76"/>
    <w:rsid w:val="00250F87"/>
    <w:rsid w:val="00255716"/>
    <w:rsid w:val="002642EC"/>
    <w:rsid w:val="002654EC"/>
    <w:rsid w:val="002670D4"/>
    <w:rsid w:val="002743BE"/>
    <w:rsid w:val="002863E4"/>
    <w:rsid w:val="00294F51"/>
    <w:rsid w:val="00297A86"/>
    <w:rsid w:val="002A2025"/>
    <w:rsid w:val="002A4585"/>
    <w:rsid w:val="002A6A97"/>
    <w:rsid w:val="002A6E93"/>
    <w:rsid w:val="002B1553"/>
    <w:rsid w:val="002C14B6"/>
    <w:rsid w:val="002C7BC6"/>
    <w:rsid w:val="002C7D7A"/>
    <w:rsid w:val="002E167B"/>
    <w:rsid w:val="002E5821"/>
    <w:rsid w:val="002F2017"/>
    <w:rsid w:val="002F4863"/>
    <w:rsid w:val="002F4CD1"/>
    <w:rsid w:val="002F506A"/>
    <w:rsid w:val="00302F22"/>
    <w:rsid w:val="003108C1"/>
    <w:rsid w:val="00314352"/>
    <w:rsid w:val="00322F78"/>
    <w:rsid w:val="00325458"/>
    <w:rsid w:val="00330161"/>
    <w:rsid w:val="003372AE"/>
    <w:rsid w:val="00337646"/>
    <w:rsid w:val="003447FE"/>
    <w:rsid w:val="00347B17"/>
    <w:rsid w:val="00352FA5"/>
    <w:rsid w:val="00354CED"/>
    <w:rsid w:val="00365F22"/>
    <w:rsid w:val="003749F3"/>
    <w:rsid w:val="00374F30"/>
    <w:rsid w:val="00383157"/>
    <w:rsid w:val="00387AC0"/>
    <w:rsid w:val="00391FED"/>
    <w:rsid w:val="003B1864"/>
    <w:rsid w:val="003C1AA5"/>
    <w:rsid w:val="003C4C07"/>
    <w:rsid w:val="003D0986"/>
    <w:rsid w:val="003D35C1"/>
    <w:rsid w:val="003E14D2"/>
    <w:rsid w:val="003E58E0"/>
    <w:rsid w:val="003E72D7"/>
    <w:rsid w:val="003F7043"/>
    <w:rsid w:val="003F7D9F"/>
    <w:rsid w:val="00402F2B"/>
    <w:rsid w:val="004045A3"/>
    <w:rsid w:val="004049DA"/>
    <w:rsid w:val="004061D9"/>
    <w:rsid w:val="0040685F"/>
    <w:rsid w:val="00410119"/>
    <w:rsid w:val="004109A7"/>
    <w:rsid w:val="00411AFF"/>
    <w:rsid w:val="00412443"/>
    <w:rsid w:val="00415225"/>
    <w:rsid w:val="00416FF5"/>
    <w:rsid w:val="0041744C"/>
    <w:rsid w:val="00422690"/>
    <w:rsid w:val="00426342"/>
    <w:rsid w:val="004313BF"/>
    <w:rsid w:val="004353B5"/>
    <w:rsid w:val="00437F9E"/>
    <w:rsid w:val="004439D8"/>
    <w:rsid w:val="00450546"/>
    <w:rsid w:val="00454E31"/>
    <w:rsid w:val="00456053"/>
    <w:rsid w:val="004574D9"/>
    <w:rsid w:val="004575A4"/>
    <w:rsid w:val="00460AA9"/>
    <w:rsid w:val="00464F8E"/>
    <w:rsid w:val="0046557D"/>
    <w:rsid w:val="00476749"/>
    <w:rsid w:val="00476ABE"/>
    <w:rsid w:val="00480D5F"/>
    <w:rsid w:val="004815CD"/>
    <w:rsid w:val="00495054"/>
    <w:rsid w:val="004A1B6E"/>
    <w:rsid w:val="004A5078"/>
    <w:rsid w:val="004A7C50"/>
    <w:rsid w:val="004A7E5C"/>
    <w:rsid w:val="004B065D"/>
    <w:rsid w:val="004B1F86"/>
    <w:rsid w:val="004B3756"/>
    <w:rsid w:val="004C42C4"/>
    <w:rsid w:val="004D0908"/>
    <w:rsid w:val="004F1BDA"/>
    <w:rsid w:val="004F45D2"/>
    <w:rsid w:val="004F4F6A"/>
    <w:rsid w:val="004F5D7C"/>
    <w:rsid w:val="00501FF6"/>
    <w:rsid w:val="00511797"/>
    <w:rsid w:val="00513B5C"/>
    <w:rsid w:val="00513D02"/>
    <w:rsid w:val="00522020"/>
    <w:rsid w:val="00522DDD"/>
    <w:rsid w:val="00525080"/>
    <w:rsid w:val="00527D08"/>
    <w:rsid w:val="00531A43"/>
    <w:rsid w:val="005366E9"/>
    <w:rsid w:val="005367BB"/>
    <w:rsid w:val="005371B1"/>
    <w:rsid w:val="00542CBA"/>
    <w:rsid w:val="0054454C"/>
    <w:rsid w:val="00544C28"/>
    <w:rsid w:val="00546F8F"/>
    <w:rsid w:val="005544A4"/>
    <w:rsid w:val="005609A6"/>
    <w:rsid w:val="00572672"/>
    <w:rsid w:val="00574162"/>
    <w:rsid w:val="00577A86"/>
    <w:rsid w:val="00592190"/>
    <w:rsid w:val="005A14AC"/>
    <w:rsid w:val="005A1511"/>
    <w:rsid w:val="005A1C8B"/>
    <w:rsid w:val="005B61E9"/>
    <w:rsid w:val="005B75EC"/>
    <w:rsid w:val="005C0DA6"/>
    <w:rsid w:val="005C3EB7"/>
    <w:rsid w:val="005C6526"/>
    <w:rsid w:val="005C69C9"/>
    <w:rsid w:val="005D0552"/>
    <w:rsid w:val="005D5DA2"/>
    <w:rsid w:val="005E4D90"/>
    <w:rsid w:val="005F707C"/>
    <w:rsid w:val="006005EB"/>
    <w:rsid w:val="006012D0"/>
    <w:rsid w:val="006058B5"/>
    <w:rsid w:val="006203DE"/>
    <w:rsid w:val="00621BC7"/>
    <w:rsid w:val="006233F1"/>
    <w:rsid w:val="00624A9C"/>
    <w:rsid w:val="00624B6D"/>
    <w:rsid w:val="0063130B"/>
    <w:rsid w:val="00641A62"/>
    <w:rsid w:val="00641B72"/>
    <w:rsid w:val="00643174"/>
    <w:rsid w:val="00644C15"/>
    <w:rsid w:val="00652317"/>
    <w:rsid w:val="006571C0"/>
    <w:rsid w:val="0067033B"/>
    <w:rsid w:val="00686497"/>
    <w:rsid w:val="00686CAB"/>
    <w:rsid w:val="006A10EC"/>
    <w:rsid w:val="006A1AF4"/>
    <w:rsid w:val="006C04E4"/>
    <w:rsid w:val="006C46E7"/>
    <w:rsid w:val="006C48BC"/>
    <w:rsid w:val="006D792A"/>
    <w:rsid w:val="006E4C92"/>
    <w:rsid w:val="006E643E"/>
    <w:rsid w:val="006F3AD0"/>
    <w:rsid w:val="006F6C6A"/>
    <w:rsid w:val="00702534"/>
    <w:rsid w:val="00711C9C"/>
    <w:rsid w:val="00715814"/>
    <w:rsid w:val="0072006D"/>
    <w:rsid w:val="00720FF9"/>
    <w:rsid w:val="00724821"/>
    <w:rsid w:val="007276FD"/>
    <w:rsid w:val="00731563"/>
    <w:rsid w:val="007334B2"/>
    <w:rsid w:val="007371B9"/>
    <w:rsid w:val="00746843"/>
    <w:rsid w:val="0075129E"/>
    <w:rsid w:val="00760914"/>
    <w:rsid w:val="0076670F"/>
    <w:rsid w:val="007721B1"/>
    <w:rsid w:val="00773246"/>
    <w:rsid w:val="00773481"/>
    <w:rsid w:val="00782299"/>
    <w:rsid w:val="007844AE"/>
    <w:rsid w:val="00791871"/>
    <w:rsid w:val="00793D6E"/>
    <w:rsid w:val="007943CD"/>
    <w:rsid w:val="00794D61"/>
    <w:rsid w:val="007A0590"/>
    <w:rsid w:val="007A1008"/>
    <w:rsid w:val="007A2F21"/>
    <w:rsid w:val="007A4341"/>
    <w:rsid w:val="007B081F"/>
    <w:rsid w:val="007B7105"/>
    <w:rsid w:val="007B734B"/>
    <w:rsid w:val="007C2818"/>
    <w:rsid w:val="007C67AA"/>
    <w:rsid w:val="007D23DF"/>
    <w:rsid w:val="007E3A82"/>
    <w:rsid w:val="007E4C2A"/>
    <w:rsid w:val="007F609E"/>
    <w:rsid w:val="007F64AB"/>
    <w:rsid w:val="0080044A"/>
    <w:rsid w:val="008013D0"/>
    <w:rsid w:val="00804672"/>
    <w:rsid w:val="008125C0"/>
    <w:rsid w:val="0082182B"/>
    <w:rsid w:val="00821BBB"/>
    <w:rsid w:val="0082297B"/>
    <w:rsid w:val="008254A3"/>
    <w:rsid w:val="008336BC"/>
    <w:rsid w:val="00840082"/>
    <w:rsid w:val="008424B1"/>
    <w:rsid w:val="00847019"/>
    <w:rsid w:val="008475E8"/>
    <w:rsid w:val="00851948"/>
    <w:rsid w:val="00852A44"/>
    <w:rsid w:val="0085364C"/>
    <w:rsid w:val="00855E1F"/>
    <w:rsid w:val="00856E60"/>
    <w:rsid w:val="00866221"/>
    <w:rsid w:val="00874E62"/>
    <w:rsid w:val="00875293"/>
    <w:rsid w:val="008A50EE"/>
    <w:rsid w:val="008C5A04"/>
    <w:rsid w:val="008D0B45"/>
    <w:rsid w:val="008D22C5"/>
    <w:rsid w:val="008D3339"/>
    <w:rsid w:val="008E4D76"/>
    <w:rsid w:val="008E53C0"/>
    <w:rsid w:val="008F1178"/>
    <w:rsid w:val="008F1301"/>
    <w:rsid w:val="008F46AE"/>
    <w:rsid w:val="008F7CEA"/>
    <w:rsid w:val="00901BC1"/>
    <w:rsid w:val="00904BBC"/>
    <w:rsid w:val="00905475"/>
    <w:rsid w:val="0090692C"/>
    <w:rsid w:val="00906F43"/>
    <w:rsid w:val="00907E5D"/>
    <w:rsid w:val="009112D6"/>
    <w:rsid w:val="00911F5B"/>
    <w:rsid w:val="00921F86"/>
    <w:rsid w:val="009317FB"/>
    <w:rsid w:val="00933775"/>
    <w:rsid w:val="00934463"/>
    <w:rsid w:val="00934CC5"/>
    <w:rsid w:val="0094378C"/>
    <w:rsid w:val="0095115B"/>
    <w:rsid w:val="00955714"/>
    <w:rsid w:val="00960009"/>
    <w:rsid w:val="00960A2B"/>
    <w:rsid w:val="00974EB0"/>
    <w:rsid w:val="00976AA9"/>
    <w:rsid w:val="00980570"/>
    <w:rsid w:val="00981115"/>
    <w:rsid w:val="0098218B"/>
    <w:rsid w:val="009827BA"/>
    <w:rsid w:val="00985B07"/>
    <w:rsid w:val="00995A0B"/>
    <w:rsid w:val="009A26FF"/>
    <w:rsid w:val="009A36DF"/>
    <w:rsid w:val="009B08F6"/>
    <w:rsid w:val="009D0FC6"/>
    <w:rsid w:val="00A00386"/>
    <w:rsid w:val="00A01172"/>
    <w:rsid w:val="00A01577"/>
    <w:rsid w:val="00A10BF9"/>
    <w:rsid w:val="00A10E45"/>
    <w:rsid w:val="00A21336"/>
    <w:rsid w:val="00A26B4A"/>
    <w:rsid w:val="00A41923"/>
    <w:rsid w:val="00A472B0"/>
    <w:rsid w:val="00A51142"/>
    <w:rsid w:val="00A52856"/>
    <w:rsid w:val="00A5300B"/>
    <w:rsid w:val="00A53428"/>
    <w:rsid w:val="00A65B7F"/>
    <w:rsid w:val="00A66850"/>
    <w:rsid w:val="00A72DCF"/>
    <w:rsid w:val="00A85A72"/>
    <w:rsid w:val="00AA1059"/>
    <w:rsid w:val="00AA7064"/>
    <w:rsid w:val="00AB073B"/>
    <w:rsid w:val="00AB5E14"/>
    <w:rsid w:val="00AD4549"/>
    <w:rsid w:val="00AD69F2"/>
    <w:rsid w:val="00AE040C"/>
    <w:rsid w:val="00AE20EE"/>
    <w:rsid w:val="00AE2C8E"/>
    <w:rsid w:val="00AE62DB"/>
    <w:rsid w:val="00AF14BF"/>
    <w:rsid w:val="00B00861"/>
    <w:rsid w:val="00B113FA"/>
    <w:rsid w:val="00B233B9"/>
    <w:rsid w:val="00B303B0"/>
    <w:rsid w:val="00B45F9C"/>
    <w:rsid w:val="00B51E93"/>
    <w:rsid w:val="00B578B7"/>
    <w:rsid w:val="00B6035D"/>
    <w:rsid w:val="00B6255E"/>
    <w:rsid w:val="00B65F56"/>
    <w:rsid w:val="00B73E7A"/>
    <w:rsid w:val="00B76D0F"/>
    <w:rsid w:val="00B854E5"/>
    <w:rsid w:val="00B97D70"/>
    <w:rsid w:val="00BA24B8"/>
    <w:rsid w:val="00BA36B2"/>
    <w:rsid w:val="00BA4FF1"/>
    <w:rsid w:val="00BA509F"/>
    <w:rsid w:val="00BB4DD9"/>
    <w:rsid w:val="00BB6C47"/>
    <w:rsid w:val="00BC2F40"/>
    <w:rsid w:val="00BC3308"/>
    <w:rsid w:val="00BC47CB"/>
    <w:rsid w:val="00BD0332"/>
    <w:rsid w:val="00BD7632"/>
    <w:rsid w:val="00BE24A0"/>
    <w:rsid w:val="00BE2972"/>
    <w:rsid w:val="00BE603D"/>
    <w:rsid w:val="00BF2762"/>
    <w:rsid w:val="00BF6E30"/>
    <w:rsid w:val="00C01F95"/>
    <w:rsid w:val="00C06993"/>
    <w:rsid w:val="00C109A3"/>
    <w:rsid w:val="00C11714"/>
    <w:rsid w:val="00C11B89"/>
    <w:rsid w:val="00C178BF"/>
    <w:rsid w:val="00C2657B"/>
    <w:rsid w:val="00C26872"/>
    <w:rsid w:val="00C314AE"/>
    <w:rsid w:val="00C37F89"/>
    <w:rsid w:val="00C4090A"/>
    <w:rsid w:val="00C40B88"/>
    <w:rsid w:val="00C419B2"/>
    <w:rsid w:val="00C44721"/>
    <w:rsid w:val="00C52CCD"/>
    <w:rsid w:val="00C53D7B"/>
    <w:rsid w:val="00C579FF"/>
    <w:rsid w:val="00C65353"/>
    <w:rsid w:val="00C6733E"/>
    <w:rsid w:val="00C67380"/>
    <w:rsid w:val="00C72EFA"/>
    <w:rsid w:val="00C91143"/>
    <w:rsid w:val="00CB5B38"/>
    <w:rsid w:val="00CC54D6"/>
    <w:rsid w:val="00CD1E77"/>
    <w:rsid w:val="00CD237A"/>
    <w:rsid w:val="00CD55F9"/>
    <w:rsid w:val="00CD5CC6"/>
    <w:rsid w:val="00CD6CFF"/>
    <w:rsid w:val="00CD7B2B"/>
    <w:rsid w:val="00CF3482"/>
    <w:rsid w:val="00CF3685"/>
    <w:rsid w:val="00CF4F44"/>
    <w:rsid w:val="00CF61A4"/>
    <w:rsid w:val="00D06CF8"/>
    <w:rsid w:val="00D07AEF"/>
    <w:rsid w:val="00D11003"/>
    <w:rsid w:val="00D147C1"/>
    <w:rsid w:val="00D1681B"/>
    <w:rsid w:val="00D24AFD"/>
    <w:rsid w:val="00D4262A"/>
    <w:rsid w:val="00D42E60"/>
    <w:rsid w:val="00D470C6"/>
    <w:rsid w:val="00D51B17"/>
    <w:rsid w:val="00D51BC5"/>
    <w:rsid w:val="00D6116F"/>
    <w:rsid w:val="00D61FAD"/>
    <w:rsid w:val="00D639E2"/>
    <w:rsid w:val="00D66D34"/>
    <w:rsid w:val="00D72664"/>
    <w:rsid w:val="00D83957"/>
    <w:rsid w:val="00D90051"/>
    <w:rsid w:val="00D91A68"/>
    <w:rsid w:val="00DA5D1C"/>
    <w:rsid w:val="00DA63E2"/>
    <w:rsid w:val="00DB0AB3"/>
    <w:rsid w:val="00DB76F9"/>
    <w:rsid w:val="00DC11AF"/>
    <w:rsid w:val="00DC1B03"/>
    <w:rsid w:val="00DD6F31"/>
    <w:rsid w:val="00DE28B7"/>
    <w:rsid w:val="00DE5D5A"/>
    <w:rsid w:val="00DE6B58"/>
    <w:rsid w:val="00DF07C9"/>
    <w:rsid w:val="00DF20E0"/>
    <w:rsid w:val="00E02430"/>
    <w:rsid w:val="00E05FBF"/>
    <w:rsid w:val="00E1651E"/>
    <w:rsid w:val="00E229EA"/>
    <w:rsid w:val="00E24786"/>
    <w:rsid w:val="00E359E8"/>
    <w:rsid w:val="00E35D45"/>
    <w:rsid w:val="00E40392"/>
    <w:rsid w:val="00E45189"/>
    <w:rsid w:val="00E4657C"/>
    <w:rsid w:val="00E5109E"/>
    <w:rsid w:val="00E51B43"/>
    <w:rsid w:val="00E53552"/>
    <w:rsid w:val="00E53C81"/>
    <w:rsid w:val="00E76056"/>
    <w:rsid w:val="00E821FF"/>
    <w:rsid w:val="00E91FC3"/>
    <w:rsid w:val="00E933BD"/>
    <w:rsid w:val="00E96117"/>
    <w:rsid w:val="00E96752"/>
    <w:rsid w:val="00E97AAB"/>
    <w:rsid w:val="00EA1629"/>
    <w:rsid w:val="00EA2163"/>
    <w:rsid w:val="00EA393E"/>
    <w:rsid w:val="00EA43BE"/>
    <w:rsid w:val="00EA4F07"/>
    <w:rsid w:val="00EA5092"/>
    <w:rsid w:val="00EA5F82"/>
    <w:rsid w:val="00EB2454"/>
    <w:rsid w:val="00EB4F36"/>
    <w:rsid w:val="00EB59F9"/>
    <w:rsid w:val="00EB65F1"/>
    <w:rsid w:val="00EC0327"/>
    <w:rsid w:val="00EC2D6D"/>
    <w:rsid w:val="00ED219D"/>
    <w:rsid w:val="00ED3438"/>
    <w:rsid w:val="00EE5B52"/>
    <w:rsid w:val="00EF193A"/>
    <w:rsid w:val="00EF32F5"/>
    <w:rsid w:val="00EF4C49"/>
    <w:rsid w:val="00EF5789"/>
    <w:rsid w:val="00F06EEF"/>
    <w:rsid w:val="00F21B63"/>
    <w:rsid w:val="00F24393"/>
    <w:rsid w:val="00F26FDA"/>
    <w:rsid w:val="00F51944"/>
    <w:rsid w:val="00F541E8"/>
    <w:rsid w:val="00F56F22"/>
    <w:rsid w:val="00F57CBB"/>
    <w:rsid w:val="00F669CA"/>
    <w:rsid w:val="00F7195F"/>
    <w:rsid w:val="00F73DFF"/>
    <w:rsid w:val="00F74444"/>
    <w:rsid w:val="00F87F4D"/>
    <w:rsid w:val="00F9078D"/>
    <w:rsid w:val="00F9556F"/>
    <w:rsid w:val="00F97784"/>
    <w:rsid w:val="00FA03B9"/>
    <w:rsid w:val="00FB2E10"/>
    <w:rsid w:val="00FB35B3"/>
    <w:rsid w:val="00FC1B5C"/>
    <w:rsid w:val="00FD0B09"/>
    <w:rsid w:val="00FD63B1"/>
    <w:rsid w:val="00FF592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2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22F2E-69A7-4D23-82C0-9CF3A775C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217</Words>
  <Characters>1238</Characters>
  <Application>Microsoft Office Word</Application>
  <DocSecurity>0</DocSecurity>
  <Lines>10</Lines>
  <Paragraphs>2</Paragraphs>
  <ScaleCrop>false</ScaleCrop>
  <Company>Lenovo</Company>
  <LinksUpToDate>false</LinksUpToDate>
  <CharactersWithSpaces>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朱见平</dc:creator>
  <cp:lastModifiedBy>刘俊琥</cp:lastModifiedBy>
  <cp:revision>11</cp:revision>
  <dcterms:created xsi:type="dcterms:W3CDTF">2021-03-18T01:50:00Z</dcterms:created>
  <dcterms:modified xsi:type="dcterms:W3CDTF">2021-07-01T03:13:00Z</dcterms:modified>
</cp:coreProperties>
</file>