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R2项目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辐射监测信息管理系统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采购招标公告</w:t>
      </w:r>
    </w:p>
    <w:p>
      <w:pPr>
        <w:pStyle w:val="5"/>
        <w:numPr>
          <w:ilvl w:val="0"/>
          <w:numId w:val="4"/>
        </w:numPr>
        <w:spacing w:before="31" w:after="31" w:line="360" w:lineRule="auto"/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0" w:name="_Toc70508104"/>
      <w:bookmarkStart w:id="1" w:name="_Toc9589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招标条件</w:t>
      </w:r>
      <w:bookmarkEnd w:id="0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 xml:space="preserve"> </w:t>
      </w:r>
    </w:p>
    <w:bookmarkEnd w:id="1"/>
    <w:p>
      <w:pPr>
        <w:pStyle w:val="11"/>
        <w:spacing w:line="360" w:lineRule="auto"/>
        <w:ind w:firstLine="480" w:firstLineChars="20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北京国科军友工程咨询有限公司（以下简称“招标代理机构”）受中国核电工程有限公司（以下简称“招标人”）的委托，就本项目进</w:t>
      </w:r>
      <w:bookmarkStart w:id="21" w:name="_GoBack"/>
      <w:bookmarkEnd w:id="21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行公开招标。本招标项目为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R2项目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，建设单位为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中核四0四有限公司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，招标人为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中国核电工程有限公司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，招标项目资金为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国拨资金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，出资比例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single"/>
        </w:rPr>
        <w:t>已确定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。该项目已具备招标条件，现对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辐射监测信息管理系统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采购进行公开招标。</w:t>
      </w:r>
    </w:p>
    <w:p>
      <w:pPr>
        <w:pStyle w:val="5"/>
        <w:numPr>
          <w:ilvl w:val="0"/>
          <w:numId w:val="4"/>
        </w:numPr>
        <w:spacing w:before="31" w:after="31"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2" w:name="_Toc70508105"/>
      <w:bookmarkStart w:id="3" w:name="_Toc24738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项目概况与招标范围</w:t>
      </w:r>
      <w:bookmarkEnd w:id="2"/>
      <w:bookmarkEnd w:id="3"/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</w:rPr>
        <w:instrText xml:space="preserve"> HYPERLINK "http://zb.cnpe.cc/gjc/buyer/bidtask/transaction.grid?_t=101526&amp;_winid=w3493" </w:instrTex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color w:val="auto"/>
          <w:highlight w:val="none"/>
        </w:rPr>
        <w:t>QT022WXR028C11506BD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</w:rPr>
        <w:t>/GKZH-22181ZH346</w:t>
      </w:r>
      <w:r>
        <w:rPr>
          <w:rFonts w:hint="eastAsia" w:ascii="宋体" w:hAnsi="宋体" w:eastAsia="宋体" w:cs="宋体"/>
          <w:b w:val="0"/>
          <w:color w:val="auto"/>
          <w:highlight w:val="none"/>
        </w:rPr>
        <w:t xml:space="preserve"> 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项目名称：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R2项目辐射监测信息管理系统采购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项目概况：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项目建设地点位于甘肃省酒泉市金塔县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招标范围：辐射监测实验室数据管理系统1套：含软件1套、2台机柜服务器、5个操作站及组成系统必要配件；辐射监测信息管理系统：含内置软件、17套数据采集机柜、15套现场操作员站、2套数据服务器、2套接口服务器、2套集中机柜、1套综合布线柜、3套显示柜（中子计数率仪、临界报警、某元素存量）、4套操作员站、2套工程师站、5台交换机、2台打印机、19套系统使用的配套电源、1套大屏幕、1套视频矩阵等辅助显示设备及配套的操作台和工作椅。</w:t>
      </w:r>
    </w:p>
    <w:p>
      <w:pPr>
        <w:pStyle w:val="13"/>
        <w:numPr>
          <w:ilvl w:val="0"/>
          <w:numId w:val="0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设备技术规格要求：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需满足技术规格书要求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交货时间：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2023-3-30</w:t>
      </w:r>
      <w:r>
        <w:rPr>
          <w:rFonts w:hint="eastAsia" w:ascii="宋体" w:hAnsi="宋体" w:eastAsia="宋体" w:cs="宋体"/>
          <w:b w:val="0"/>
          <w:color w:val="auto"/>
          <w:highlight w:val="none"/>
        </w:rPr>
        <w:t xml:space="preserve"> 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交货地点：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R项目2期现场（DDP）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最高投标限价：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2126万元人民币</w:t>
      </w:r>
    </w:p>
    <w:p>
      <w:pPr>
        <w:pStyle w:val="5"/>
        <w:numPr>
          <w:ilvl w:val="0"/>
          <w:numId w:val="4"/>
        </w:numPr>
        <w:spacing w:before="31" w:after="31" w:line="360" w:lineRule="auto"/>
        <w:rPr>
          <w:rFonts w:hint="eastAsia" w:ascii="宋体" w:hAnsi="宋体" w:eastAsia="宋体" w:cs="宋体"/>
          <w:color w:val="auto"/>
          <w:highlight w:val="none"/>
        </w:rPr>
      </w:pPr>
      <w:bookmarkStart w:id="4" w:name="_Toc6513"/>
      <w:bookmarkStart w:id="5" w:name="_Toc70508106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投标人资格要求</w:t>
      </w:r>
      <w:bookmarkEnd w:id="4"/>
      <w:bookmarkEnd w:id="5"/>
    </w:p>
    <w:p>
      <w:pPr>
        <w:pStyle w:val="13"/>
        <w:numPr>
          <w:ilvl w:val="1"/>
          <w:numId w:val="4"/>
        </w:numPr>
        <w:spacing w:line="360" w:lineRule="auto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在中华人民共和国境内拥有合法经营权力，具有独立的法人资格，符合国家有关规定，有资格和能力在国内完成本招标货物供货及相关服务。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投标人应遵守中华人民共和国法律、法规。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投标人必须具有履行合同所必要的财务、技术、设计和制造/采购能力，并满足下列要求：</w:t>
      </w:r>
    </w:p>
    <w:p>
      <w:pPr>
        <w:pStyle w:val="14"/>
        <w:numPr>
          <w:ilvl w:val="2"/>
          <w:numId w:val="5"/>
        </w:numPr>
        <w:spacing w:line="360" w:lineRule="auto"/>
        <w:ind w:left="552" w:hanging="55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投标人不得处于破产、停业、财产被接收或冻结等任何不利于合同目的实现的情形。</w:t>
      </w:r>
    </w:p>
    <w:p>
      <w:pPr>
        <w:pStyle w:val="14"/>
        <w:numPr>
          <w:ilvl w:val="2"/>
          <w:numId w:val="5"/>
        </w:numPr>
        <w:spacing w:line="360" w:lineRule="auto"/>
        <w:ind w:left="552" w:hanging="55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投标人经第三方认证且在有效期内的质量体系认证证书。</w:t>
      </w:r>
    </w:p>
    <w:p>
      <w:pPr>
        <w:pStyle w:val="14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不接受联合体投标。</w:t>
      </w:r>
    </w:p>
    <w:p>
      <w:pPr>
        <w:pStyle w:val="13"/>
        <w:numPr>
          <w:ilvl w:val="1"/>
          <w:numId w:val="5"/>
        </w:numPr>
        <w:spacing w:before="31" w:after="31" w:line="360" w:lineRule="auto"/>
        <w:ind w:left="384" w:hanging="384" w:hangingChars="16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不接受代理商投标。</w:t>
      </w:r>
    </w:p>
    <w:p>
      <w:pPr>
        <w:pStyle w:val="5"/>
        <w:numPr>
          <w:ilvl w:val="0"/>
          <w:numId w:val="4"/>
        </w:numPr>
        <w:spacing w:before="31" w:after="31" w:line="360" w:lineRule="auto"/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6" w:name="_Toc70508107"/>
      <w:bookmarkStart w:id="7" w:name="_Toc7409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招标文件的获取</w:t>
      </w:r>
      <w:bookmarkEnd w:id="6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 xml:space="preserve"> </w:t>
      </w:r>
    </w:p>
    <w:bookmarkEnd w:id="7"/>
    <w:p>
      <w:pPr>
        <w:pStyle w:val="6"/>
        <w:spacing w:line="360" w:lineRule="auto"/>
        <w:outlineLvl w:val="0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发售时间：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2022年01月2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日09时00分—2022年0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日16时00分（北京时间）。</w:t>
      </w:r>
    </w:p>
    <w:p>
      <w:pPr>
        <w:pStyle w:val="13"/>
        <w:numPr>
          <w:ilvl w:val="1"/>
          <w:numId w:val="5"/>
        </w:numPr>
        <w:spacing w:line="360" w:lineRule="auto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在中核集团电子采购平台（https://www.cnncecp.com）进行发布招标公告。请投标人于招标文件发售截止时间前完成在中核集团电子采购平台（https://www.cnncecp.com）在线注册，并交纳标书款，上传标书款汇款电子回单、营业执照及投标保密承诺函（格式见招标公告附件）签字盖章文件的扫描件（以上文件需连续扫描为一个PDF文件后上传），点击项目报名。报名文件经招标代理机构审核通过后方可下载招标文件。</w:t>
      </w:r>
    </w:p>
    <w:p>
      <w:pPr>
        <w:pStyle w:val="13"/>
        <w:numPr>
          <w:ilvl w:val="1"/>
          <w:numId w:val="5"/>
        </w:numPr>
        <w:spacing w:line="360" w:lineRule="auto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招标文件每套售价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800</w:t>
      </w:r>
      <w:r>
        <w:rPr>
          <w:rFonts w:hint="eastAsia" w:ascii="宋体" w:hAnsi="宋体" w:eastAsia="宋体" w:cs="宋体"/>
          <w:b w:val="0"/>
          <w:color w:val="auto"/>
          <w:highlight w:val="none"/>
        </w:rPr>
        <w:t xml:space="preserve">元，售后不退。 </w:t>
      </w:r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招标代理机构收款银行名称：平安银行北京海淀支行</w:t>
      </w:r>
    </w:p>
    <w:p>
      <w:pPr>
        <w:pStyle w:val="16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公司名称：北京国科军友工程咨询有限公司</w:t>
      </w:r>
    </w:p>
    <w:p>
      <w:pPr>
        <w:pStyle w:val="16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开户银行：工商银行北京长安支行</w:t>
      </w:r>
    </w:p>
    <w:p>
      <w:pPr>
        <w:pStyle w:val="16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银行账户：0200003309004742978</w:t>
      </w:r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color w:val="auto"/>
          <w:highlight w:val="none"/>
        </w:rPr>
      </w:pPr>
      <w:bookmarkStart w:id="8" w:name="_Toc1746"/>
      <w:r>
        <w:rPr>
          <w:rFonts w:hint="eastAsia" w:ascii="宋体" w:hAnsi="宋体" w:eastAsia="宋体" w:cs="宋体"/>
          <w:b w:val="0"/>
          <w:color w:val="auto"/>
          <w:highlight w:val="none"/>
        </w:rPr>
        <w:t>投标人须在汇款单上注明：“</w:t>
      </w:r>
      <w:r>
        <w:rPr>
          <w:rFonts w:hint="eastAsia" w:ascii="宋体" w:hAnsi="宋体" w:eastAsia="宋体" w:cs="宋体"/>
          <w:b w:val="0"/>
          <w:color w:val="auto"/>
          <w:highlight w:val="none"/>
          <w:u w:val="single"/>
        </w:rPr>
        <w:t>R2项目辐射监测信息管理系统</w:t>
      </w:r>
      <w:r>
        <w:rPr>
          <w:rFonts w:hint="eastAsia" w:ascii="宋体" w:hAnsi="宋体" w:eastAsia="宋体" w:cs="宋体"/>
          <w:b w:val="0"/>
          <w:color w:val="auto"/>
          <w:highlight w:val="none"/>
        </w:rPr>
        <w:t>购标款（投标人名称+纳税人识别号）”</w:t>
      </w:r>
      <w:bookmarkEnd w:id="8"/>
    </w:p>
    <w:p>
      <w:pPr>
        <w:pStyle w:val="13"/>
        <w:numPr>
          <w:ilvl w:val="0"/>
          <w:numId w:val="0"/>
        </w:numPr>
        <w:spacing w:line="360" w:lineRule="auto"/>
        <w:ind w:left="384"/>
        <w:rPr>
          <w:rFonts w:hint="eastAsia" w:ascii="宋体" w:hAnsi="宋体" w:eastAsia="宋体" w:cs="宋体"/>
          <w:b w:val="0"/>
          <w:color w:val="auto"/>
          <w:highlight w:val="none"/>
        </w:rPr>
      </w:pPr>
      <w:bookmarkStart w:id="9" w:name="_Toc8577"/>
      <w:r>
        <w:rPr>
          <w:rFonts w:hint="eastAsia" w:ascii="宋体" w:hAnsi="宋体" w:eastAsia="宋体" w:cs="宋体"/>
          <w:b w:val="0"/>
          <w:color w:val="auto"/>
          <w:highlight w:val="none"/>
        </w:rPr>
        <w:t>注：原则上标书款只接受公司账户汇款，如以个人账户名义汇款，我司只能开具个人名字抬头的标书款发票。</w:t>
      </w:r>
      <w:bookmarkEnd w:id="9"/>
    </w:p>
    <w:p>
      <w:pPr>
        <w:pStyle w:val="5"/>
        <w:numPr>
          <w:ilvl w:val="0"/>
          <w:numId w:val="4"/>
        </w:numPr>
        <w:spacing w:before="31" w:after="31" w:line="360" w:lineRule="auto"/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10" w:name="_Toc70508108"/>
      <w:bookmarkStart w:id="11" w:name="_Toc473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投标文件的递交</w:t>
      </w:r>
      <w:bookmarkEnd w:id="10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 xml:space="preserve"> </w:t>
      </w:r>
    </w:p>
    <w:bookmarkEnd w:id="11"/>
    <w:p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投标文件递交的截止时间（投标截止时间，下同）为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single"/>
        </w:rPr>
        <w:t>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single"/>
        </w:rPr>
        <w:t>02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single"/>
        </w:rPr>
        <w:t>28日09时00分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。</w:t>
      </w:r>
    </w:p>
    <w:p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投标文件递交的地点（同邮寄地点）为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single"/>
        </w:rPr>
        <w:t>北京市海淀区中关村南大街36号湖北大厦4层会议室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。</w:t>
      </w:r>
    </w:p>
    <w:p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投标文件的递交方式：邮寄递交纸质投标文件</w:t>
      </w:r>
    </w:p>
    <w:p>
      <w:pPr>
        <w:numPr>
          <w:ilvl w:val="255"/>
          <w:numId w:val="0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1）邮寄方式递交纸质投标文件：投标人须在投标文件递交截止时间前，将投标文件（一套正本、二套副本、一套投标文件电子版）作为一个快递包裹邮寄到招标代理机构指定地点。疫情期间，请合理安排物流发件时间，建议工作日送达。逾期送达的、未送达指定地点的或者不按照招标文件要求密封的投标文件，招标人将予以拒收。</w:t>
      </w:r>
    </w:p>
    <w:p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</w:rPr>
        <w:instrText xml:space="preserve"> HYPERLINK "mailto:请于快递发出后，将所参与项目名称、投标人名称、法定代表人或其委托代理人（同投标文件中授权委托人）姓名及联系方式、快递公司名称、运单号信息、邮寄递交文件投标承诺书（详见附件）签字盖章后扫描，发送至gkjy_r@163.com邮箱。" </w:instrText>
      </w:r>
      <w:r>
        <w:rPr>
          <w:rFonts w:hint="eastAsia" w:ascii="宋体" w:hAnsi="宋体" w:eastAsia="宋体" w:cs="宋体"/>
          <w:color w:val="auto"/>
          <w:highlight w:val="none"/>
        </w:rPr>
        <w:fldChar w:fldCharType="separate"/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于快递发出后，将所参与项目名称、投标人名称、法定代表人或其委托代理人（同投标文件中授权委托人）姓名及联系方式、快递公司名称、运单号信息、邮寄递交文件投标承诺书（签字盖章后扫描），发送至gkjy_r@163.com邮箱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fldChar w:fldCharType="end"/>
      </w:r>
    </w:p>
    <w:p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邮寄递交纸质版投标文件，以收件人实际收到快递包裹及包裹签收为准。</w:t>
      </w:r>
    </w:p>
    <w:p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本项目采用视频会议的方式进行开标、唱标等开标工作。</w:t>
      </w:r>
    </w:p>
    <w:p>
      <w:pPr>
        <w:numPr>
          <w:ilvl w:val="1"/>
          <w:numId w:val="5"/>
        </w:numPr>
        <w:autoSpaceDE w:val="0"/>
        <w:autoSpaceDN w:val="0"/>
        <w:adjustRightInd w:val="0"/>
        <w:spacing w:before="31" w:after="31" w:line="360" w:lineRule="auto"/>
        <w:ind w:left="384" w:hanging="384" w:hangingChars="160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未购买本项目招标文件的，其投标将被拒绝，有文件证明下列情形的除外：</w:t>
      </w:r>
    </w:p>
    <w:p>
      <w:pPr>
        <w:numPr>
          <w:ilvl w:val="2"/>
          <w:numId w:val="5"/>
        </w:numPr>
        <w:spacing w:line="360" w:lineRule="auto"/>
        <w:ind w:left="552" w:hanging="55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作为投标人的办事处或分公司代为购买标书的；</w:t>
      </w:r>
    </w:p>
    <w:p>
      <w:pPr>
        <w:numPr>
          <w:ilvl w:val="2"/>
          <w:numId w:val="5"/>
        </w:numPr>
        <w:spacing w:line="360" w:lineRule="auto"/>
        <w:ind w:left="552" w:hanging="55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购买标书的厂家在投标截止前因兼并、重组上市等原因导致公司名称变化的。</w:t>
      </w:r>
    </w:p>
    <w:p>
      <w:pPr>
        <w:pStyle w:val="5"/>
        <w:numPr>
          <w:ilvl w:val="0"/>
          <w:numId w:val="4"/>
        </w:numPr>
        <w:spacing w:before="31" w:after="31" w:line="360" w:lineRule="auto"/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12" w:name="_Toc70502272"/>
      <w:bookmarkStart w:id="13" w:name="_Toc23992"/>
      <w:bookmarkStart w:id="14" w:name="_Toc70508109"/>
      <w:bookmarkStart w:id="15" w:name="_Toc22866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发布公告的媒体</w:t>
      </w:r>
      <w:bookmarkEnd w:id="12"/>
      <w:bookmarkEnd w:id="13"/>
      <w:bookmarkEnd w:id="14"/>
    </w:p>
    <w:bookmarkEnd w:id="15"/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招标公告将在中核集团电子采购平台（https://www.cnncecp.com）和中国招标投标公告服务平台（www.cebpubservice.com）进行发布。对于其他媒介发布的本次招标项目的公告，招标人对其准确性不承担任何责任。</w:t>
      </w:r>
    </w:p>
    <w:p>
      <w:pPr>
        <w:pStyle w:val="5"/>
        <w:numPr>
          <w:ilvl w:val="0"/>
          <w:numId w:val="4"/>
        </w:numPr>
        <w:spacing w:before="31" w:after="31" w:line="360" w:lineRule="auto"/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16" w:name="_Toc70508110"/>
      <w:bookmarkStart w:id="17" w:name="_Toc774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联系方式</w:t>
      </w:r>
      <w:bookmarkEnd w:id="16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 xml:space="preserve"> </w:t>
      </w:r>
    </w:p>
    <w:bookmarkEnd w:id="17"/>
    <w:p>
      <w:pPr>
        <w:pStyle w:val="6"/>
        <w:spacing w:line="360" w:lineRule="auto"/>
        <w:ind w:left="6240" w:hanging="6240" w:hangingChars="26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招 标 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中国核电工程有限公司        </w:t>
      </w:r>
      <w:r>
        <w:rPr>
          <w:rFonts w:hint="eastAsia" w:ascii="宋体" w:hAnsi="宋体" w:eastAsia="宋体" w:cs="宋体"/>
          <w:color w:val="auto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：北京国科军友工程咨询有限公司</w:t>
      </w:r>
    </w:p>
    <w:p>
      <w:pPr>
        <w:pStyle w:val="6"/>
        <w:spacing w:line="360" w:lineRule="auto"/>
        <w:ind w:left="5760" w:hanging="5760" w:hangingChars="24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北京市海淀区西三环北路117号 </w:t>
      </w:r>
      <w:r>
        <w:rPr>
          <w:rFonts w:hint="eastAsia" w:ascii="宋体" w:hAnsi="宋体" w:eastAsia="宋体" w:cs="宋体"/>
          <w:color w:val="auto"/>
          <w:highlight w:val="none"/>
        </w:rPr>
        <w:t>地    址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：北京市海淀区中关村南大街31号神舟大厦11层 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邮    编：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100840            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邮    编：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100081          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赵宏                        </w:t>
      </w:r>
      <w:r>
        <w:rPr>
          <w:rFonts w:hint="eastAsia" w:ascii="宋体" w:hAnsi="宋体" w:eastAsia="宋体" w:cs="宋体"/>
          <w:color w:val="auto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李征、李梁彬   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电    话：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010-88023871-8016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电    话：</w:t>
      </w:r>
      <w:bookmarkStart w:id="18" w:name="ggxx%EF%BC%9ALXDH_1"/>
      <w:r>
        <w:rPr>
          <w:rFonts w:hint="eastAsia" w:ascii="宋体" w:hAnsi="宋体" w:eastAsia="宋体" w:cs="宋体"/>
          <w:color w:val="auto"/>
          <w:highlight w:val="none"/>
          <w:u w:val="single"/>
        </w:rPr>
        <w:t>010-68197261/681</w:t>
      </w:r>
      <w:bookmarkEnd w:id="18"/>
      <w:r>
        <w:rPr>
          <w:rFonts w:hint="eastAsia" w:ascii="宋体" w:hAnsi="宋体" w:eastAsia="宋体" w:cs="宋体"/>
          <w:color w:val="auto"/>
          <w:highlight w:val="none"/>
          <w:u w:val="single"/>
        </w:rPr>
        <w:t>96355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传    真：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highlight w:val="none"/>
        </w:rPr>
        <w:t>传    真：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010-68118720       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gkjy_r@163.com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网    址：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highlight w:val="none"/>
        </w:rPr>
        <w:t>网    址：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>
      <w:pPr>
        <w:pStyle w:val="5"/>
        <w:numPr>
          <w:ilvl w:val="0"/>
          <w:numId w:val="4"/>
        </w:numPr>
        <w:spacing w:before="31" w:after="31" w:line="360" w:lineRule="auto"/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19" w:name="_Toc70508111"/>
      <w:bookmarkStart w:id="20" w:name="_Toc28035"/>
      <w:r>
        <w:rPr>
          <w:rStyle w:val="7"/>
          <w:rFonts w:hint="eastAsia" w:ascii="宋体" w:hAnsi="宋体" w:eastAsia="宋体" w:cs="宋体"/>
          <w:b w:val="0"/>
          <w:bCs w:val="0"/>
          <w:color w:val="auto"/>
          <w:highlight w:val="none"/>
        </w:rPr>
        <w:t>其他说明</w:t>
      </w:r>
      <w:bookmarkEnd w:id="19"/>
    </w:p>
    <w:bookmarkEnd w:id="20"/>
    <w:p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中国核电工程有限公司北京国科军友工程咨询有限公司独家负责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辐射监测信息管理系统</w:t>
      </w:r>
      <w:r>
        <w:rPr>
          <w:rFonts w:hint="eastAsia" w:ascii="宋体" w:hAnsi="宋体" w:eastAsia="宋体" w:cs="宋体"/>
          <w:color w:val="auto"/>
          <w:highlight w:val="none"/>
        </w:rPr>
        <w:t>的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国内公开招标代理</w:t>
      </w:r>
      <w:r>
        <w:rPr>
          <w:rFonts w:hint="eastAsia" w:ascii="宋体" w:hAnsi="宋体" w:eastAsia="宋体" w:cs="宋体"/>
          <w:color w:val="auto"/>
          <w:highlight w:val="none"/>
        </w:rPr>
        <w:t>工作。对于其它公司利用本公司发布的招标信息进行诈骗的行为，本公司将不承担任何责任，并保留追究相关责任人权利。</w:t>
      </w:r>
    </w:p>
    <w:p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color w:val="auto"/>
          <w:highlight w:val="none"/>
        </w:rPr>
        <w:t>本次招标活动的最终解释权在中国核电工程有限公司。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82316"/>
    <w:multiLevelType w:val="multilevel"/>
    <w:tmpl w:val="59282316"/>
    <w:lvl w:ilvl="0" w:tentative="0">
      <w:start w:val="1"/>
      <w:numFmt w:val="decimal"/>
      <w:pStyle w:val="5"/>
      <w:suff w:val="space"/>
      <w:lvlText w:val="%1."/>
      <w:lvlJc w:val="left"/>
      <w:pPr>
        <w:ind w:left="3544" w:firstLine="0"/>
      </w:pPr>
      <w:rPr>
        <w:rFonts w:hint="default" w:ascii="Calibri" w:hAnsi="Calibri" w:eastAsia="宋体" w:cstheme="minorHAnsi"/>
        <w:b/>
        <w:i w:val="0"/>
        <w:color w:val="auto"/>
        <w:sz w:val="24"/>
        <w:szCs w:val="28"/>
      </w:rPr>
    </w:lvl>
    <w:lvl w:ilvl="1" w:tentative="0">
      <w:start w:val="1"/>
      <w:numFmt w:val="decimal"/>
      <w:isLgl/>
      <w:suff w:val="space"/>
      <w:lvlText w:val="%1.%2"/>
      <w:lvlJc w:val="left"/>
      <w:pPr>
        <w:ind w:left="3544" w:firstLine="0"/>
      </w:pPr>
      <w:rPr>
        <w:rFonts w:hint="default" w:ascii="Calibri" w:hAnsi="Calibri"/>
        <w:b/>
        <w:i w:val="0"/>
        <w:color w:val="auto"/>
        <w:sz w:val="24"/>
        <w:szCs w:val="24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544" w:firstLine="0"/>
      </w:pPr>
      <w:rPr>
        <w:rFonts w:hint="default" w:ascii="Calibri" w:hAnsi="Calibri"/>
        <w:b w:val="0"/>
        <w:i w:val="0"/>
        <w:sz w:val="24"/>
        <w:szCs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3544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3544" w:firstLine="0"/>
      </w:pPr>
      <w:rPr>
        <w:rFonts w:hint="default" w:ascii="Calibri" w:hAnsi="Calibri"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3544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544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544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544" w:firstLine="0"/>
      </w:pPr>
      <w:rPr>
        <w:rFonts w:hint="default"/>
      </w:rPr>
    </w:lvl>
  </w:abstractNum>
  <w:abstractNum w:abstractNumId="1">
    <w:nsid w:val="724761A1"/>
    <w:multiLevelType w:val="multilevel"/>
    <w:tmpl w:val="724761A1"/>
    <w:lvl w:ilvl="0" w:tentative="0">
      <w:start w:val="1"/>
      <w:numFmt w:val="decimal"/>
      <w:pStyle w:val="16"/>
      <w:suff w:val="space"/>
      <w:lvlText w:val="%1.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969" w:firstLine="0"/>
      </w:pPr>
      <w:rPr>
        <w:rFonts w:hint="default" w:ascii="Calibri" w:hAnsi="Calibri" w:cs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Calibri" w:hAnsi="Calibri"/>
        <w:sz w:val="24"/>
        <w:lang w:eastAsia="zh-CN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787F0050"/>
    <w:multiLevelType w:val="multilevel"/>
    <w:tmpl w:val="787F005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szCs w:val="24"/>
        <w:u w:val="none"/>
        <w:vertAlign w:val="baseline"/>
      </w:rPr>
    </w:lvl>
    <w:lvl w:ilvl="1" w:tentative="0">
      <w:start w:val="1"/>
      <w:numFmt w:val="decimal"/>
      <w:pStyle w:val="13"/>
      <w:isLgl/>
      <w:suff w:val="space"/>
      <w:lvlText w:val="%1.%2"/>
      <w:lvlJc w:val="left"/>
      <w:pPr>
        <w:ind w:left="0" w:firstLine="0"/>
      </w:pPr>
      <w:rPr>
        <w:rFonts w:hint="default"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2" w:tentative="0">
      <w:start w:val="1"/>
      <w:numFmt w:val="decimal"/>
      <w:pStyle w:val="14"/>
      <w:isLgl/>
      <w:suff w:val="space"/>
      <w:lvlText w:val="%1.%2.%3"/>
      <w:lvlJc w:val="left"/>
      <w:pPr>
        <w:ind w:left="0" w:firstLine="0"/>
      </w:pPr>
      <w:rPr>
        <w:rFonts w:hint="default" w:ascii="Calibri" w:hAnsi="Calibri" w:cstheme="minorHAnsi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Calibri" w:hAnsi="Calibri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Calibri" w:hAnsi="Calibri"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82E14"/>
    <w:rsid w:val="533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节名"/>
    <w:basedOn w:val="6"/>
    <w:link w:val="8"/>
    <w:qFormat/>
    <w:uiPriority w:val="0"/>
    <w:pPr>
      <w:numPr>
        <w:ilvl w:val="0"/>
        <w:numId w:val="1"/>
      </w:numPr>
      <w:spacing w:line="360" w:lineRule="auto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6">
    <w:name w:val="Default"/>
    <w:link w:val="9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7">
    <w:name w:val="第一节 Char"/>
    <w:basedOn w:val="8"/>
    <w:link w:val="10"/>
    <w:qFormat/>
    <w:uiPriority w:val="0"/>
  </w:style>
  <w:style w:type="character" w:customStyle="1" w:styleId="8">
    <w:name w:val="节名 Char"/>
    <w:basedOn w:val="9"/>
    <w:link w:val="5"/>
    <w:qFormat/>
    <w:uiPriority w:val="0"/>
    <w:rPr>
      <w:rFonts w:ascii="Times New Roman" w:hAnsi="Times New Roman" w:cs="Times New Roman"/>
      <w:b/>
      <w:bCs/>
      <w:color w:val="auto"/>
    </w:rPr>
  </w:style>
  <w:style w:type="character" w:customStyle="1" w:styleId="9">
    <w:name w:val="Default Char"/>
    <w:basedOn w:val="3"/>
    <w:link w:val="6"/>
    <w:qFormat/>
    <w:uiPriority w:val="0"/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0">
    <w:name w:val="第一节"/>
    <w:basedOn w:val="5"/>
    <w:link w:val="7"/>
    <w:qFormat/>
    <w:uiPriority w:val="0"/>
    <w:pPr>
      <w:numPr>
        <w:numId w:val="0"/>
      </w:numPr>
      <w:spacing w:before="31" w:after="31"/>
    </w:pPr>
  </w:style>
  <w:style w:type="paragraph" w:customStyle="1" w:styleId="11">
    <w:name w:val="样式16"/>
    <w:basedOn w:val="12"/>
    <w:qFormat/>
    <w:uiPriority w:val="0"/>
  </w:style>
  <w:style w:type="paragraph" w:customStyle="1" w:styleId="12">
    <w:name w:val="样式15"/>
    <w:basedOn w:val="5"/>
    <w:qFormat/>
    <w:uiPriority w:val="0"/>
    <w:pPr>
      <w:numPr>
        <w:ilvl w:val="0"/>
        <w:numId w:val="0"/>
      </w:numPr>
      <w:spacing w:before="31" w:after="31"/>
    </w:pPr>
    <w:rPr>
      <w:rFonts w:asciiTheme="minorEastAsia" w:hAnsiTheme="minorEastAsia" w:eastAsiaTheme="minorEastAsia"/>
      <w:sz w:val="28"/>
      <w:szCs w:val="28"/>
    </w:rPr>
  </w:style>
  <w:style w:type="paragraph" w:customStyle="1" w:styleId="13">
    <w:name w:val="小节名"/>
    <w:basedOn w:val="5"/>
    <w:qFormat/>
    <w:uiPriority w:val="0"/>
    <w:pPr>
      <w:numPr>
        <w:ilvl w:val="1"/>
        <w:numId w:val="2"/>
      </w:numPr>
    </w:pPr>
    <w:rPr>
      <w:rFonts w:asciiTheme="minorEastAsia" w:hAnsiTheme="minorEastAsia" w:eastAsiaTheme="minorEastAsia"/>
    </w:rPr>
  </w:style>
  <w:style w:type="paragraph" w:customStyle="1" w:styleId="14">
    <w:name w:val="小小节名"/>
    <w:basedOn w:val="15"/>
    <w:qFormat/>
    <w:uiPriority w:val="0"/>
    <w:pPr>
      <w:numPr>
        <w:ilvl w:val="2"/>
        <w:numId w:val="2"/>
      </w:numPr>
      <w:spacing w:line="360" w:lineRule="auto"/>
    </w:pPr>
    <w:rPr>
      <w:rFonts w:asciiTheme="minorEastAsia" w:hAnsiTheme="minorEastAsia" w:eastAsiaTheme="minorEastAsia"/>
      <w:szCs w:val="24"/>
    </w:rPr>
  </w:style>
  <w:style w:type="paragraph" w:customStyle="1" w:styleId="15">
    <w:name w:val="char1"/>
    <w:basedOn w:val="1"/>
    <w:qFormat/>
    <w:uiPriority w:val="0"/>
    <w:pPr>
      <w:spacing w:line="300" w:lineRule="auto"/>
    </w:pPr>
    <w:rPr>
      <w:rFonts w:ascii="Times New Roman" w:hAnsi="Times New Roman"/>
      <w:sz w:val="24"/>
    </w:rPr>
  </w:style>
  <w:style w:type="paragraph" w:customStyle="1" w:styleId="16">
    <w:name w:val="评标办法节"/>
    <w:basedOn w:val="5"/>
    <w:qFormat/>
    <w:uiPriority w:val="0"/>
    <w:pPr>
      <w:numPr>
        <w:numId w:val="3"/>
      </w:numPr>
      <w:spacing w:before="31" w:after="3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2022-01-27T02:38:11Z</dcterms:created>
  <dc:creator>gkzb6</dc:creator>
  <cp:lastModifiedBy>向上人生路</cp:lastModifiedBy>
  <dcterms:modified xsi:type="dcterms:W3CDTF">2022-01-27T02:38:44Z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ACD96CAF74A34C37B3E3AF715376EABA</vt:lpwstr>
  </property>
</Properties>
</file>