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65" w:rsidRDefault="00C30E65" w:rsidP="00C30E65">
      <w:pPr>
        <w:pageBreakBefore/>
        <w:spacing w:line="240" w:lineRule="atLeast"/>
        <w:outlineLvl w:val="0"/>
        <w:rPr>
          <w:rFonts w:cs="Times New Roman"/>
          <w:b/>
        </w:rPr>
      </w:pPr>
      <w:r>
        <w:rPr>
          <w:rFonts w:cs="Times New Roman" w:hint="eastAsia"/>
          <w:b/>
        </w:rPr>
        <w:t>附件2：</w:t>
      </w:r>
      <w:r>
        <w:rPr>
          <w:rFonts w:cs="Times New Roman"/>
          <w:b/>
        </w:rPr>
        <w:t xml:space="preserve"> </w:t>
      </w:r>
    </w:p>
    <w:tbl>
      <w:tblPr>
        <w:tblW w:w="14965" w:type="dxa"/>
        <w:tblLayout w:type="fixed"/>
        <w:tblLook w:val="0000"/>
      </w:tblPr>
      <w:tblGrid>
        <w:gridCol w:w="757"/>
        <w:gridCol w:w="1090"/>
        <w:gridCol w:w="6853"/>
        <w:gridCol w:w="1242"/>
        <w:gridCol w:w="2973"/>
        <w:gridCol w:w="2050"/>
      </w:tblGrid>
      <w:tr w:rsidR="00C30E65" w:rsidTr="00941A37">
        <w:trPr>
          <w:trHeight w:val="407"/>
        </w:trPr>
        <w:tc>
          <w:tcPr>
            <w:tcW w:w="129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65" w:rsidRDefault="00C30E65" w:rsidP="00941A37">
            <w:pPr>
              <w:spacing w:beforeLines="50"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潜在贸易商评分表（材料或服务）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C30E65" w:rsidRDefault="00C30E65" w:rsidP="00941A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0E65" w:rsidTr="00941A37">
        <w:trPr>
          <w:gridAfter w:val="1"/>
          <w:wAfter w:w="2050" w:type="dxa"/>
          <w:trHeight w:val="444"/>
        </w:trPr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30E65" w:rsidRDefault="00C30E65" w:rsidP="00941A37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公司全称</w:t>
            </w:r>
          </w:p>
        </w:tc>
        <w:tc>
          <w:tcPr>
            <w:tcW w:w="68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18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总得分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30E65" w:rsidRDefault="00C30E65" w:rsidP="00941A37">
            <w:pPr>
              <w:rPr>
                <w:sz w:val="20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403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评价标准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该项得分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合计得分</w:t>
            </w:r>
          </w:p>
        </w:tc>
      </w:tr>
      <w:tr w:rsidR="00C30E65" w:rsidTr="00941A37">
        <w:trPr>
          <w:gridAfter w:val="1"/>
          <w:wAfter w:w="2050" w:type="dxa"/>
          <w:trHeight w:val="288"/>
        </w:trPr>
        <w:tc>
          <w:tcPr>
            <w:tcW w:w="7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注册资本</w:t>
            </w:r>
          </w:p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20分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100万以下(不含100万)，得10分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</w:tr>
      <w:tr w:rsidR="00C30E65" w:rsidTr="00941A37">
        <w:trPr>
          <w:gridAfter w:val="1"/>
          <w:wAfter w:w="2050" w:type="dxa"/>
          <w:trHeight w:val="266"/>
        </w:trPr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100万至800万，得12分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272"/>
        </w:trPr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800万至1500万，得15分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277"/>
        </w:trPr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1500万以上，得20分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235"/>
        </w:trPr>
        <w:tc>
          <w:tcPr>
            <w:tcW w:w="75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  <w:vertAlign w:val="superscript"/>
              </w:rPr>
            </w:pPr>
            <w:r>
              <w:rPr>
                <w:rFonts w:hint="eastAsia"/>
                <w:sz w:val="20"/>
                <w:szCs w:val="20"/>
              </w:rPr>
              <w:t>行业经验</w:t>
            </w:r>
          </w:p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20分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有建筑项目供货经验，得10分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</w:tr>
      <w:tr w:rsidR="00C30E65" w:rsidTr="00941A37">
        <w:trPr>
          <w:gridAfter w:val="1"/>
          <w:wAfter w:w="2050" w:type="dxa"/>
          <w:trHeight w:val="267"/>
        </w:trPr>
        <w:tc>
          <w:tcPr>
            <w:tcW w:w="75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有大型建筑供货经验，得15分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265"/>
        </w:trPr>
        <w:tc>
          <w:tcPr>
            <w:tcW w:w="75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有华兴承建的大型建筑项目主材供货经验且有专门供货存档记录，得20分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278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</w:t>
            </w:r>
          </w:p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20分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有设立专门的服务团队，得10分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</w:tr>
      <w:tr w:rsidR="00C30E65" w:rsidTr="00941A37">
        <w:trPr>
          <w:gridAfter w:val="1"/>
          <w:wAfter w:w="2050" w:type="dxa"/>
          <w:trHeight w:val="267"/>
        </w:trPr>
        <w:tc>
          <w:tcPr>
            <w:tcW w:w="7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同时有书面售后服务承诺文件，且明确48小时以内响应服务，得15分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272"/>
        </w:trPr>
        <w:tc>
          <w:tcPr>
            <w:tcW w:w="7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上述团队成员中有华兴承建的项目供货经历员工5年以上者,得20分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295"/>
        </w:trPr>
        <w:tc>
          <w:tcPr>
            <w:tcW w:w="75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质量认证</w:t>
            </w:r>
          </w:p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20分</w:t>
            </w: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设有清晰的组织机构和管理制度，得10分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</w:tr>
      <w:tr w:rsidR="00C30E65" w:rsidTr="00941A37">
        <w:trPr>
          <w:gridAfter w:val="1"/>
          <w:wAfter w:w="2050" w:type="dxa"/>
          <w:trHeight w:val="257"/>
        </w:trPr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建立项目质量保证方案并切实可行，得15分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147"/>
        </w:trPr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有ISO9000系列质量认证体系，得20分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283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经营资信</w:t>
            </w:r>
          </w:p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三年内无被诉讼，得10分。因自身原因被诉讼一次扣2分，以此类推，扣完为止。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</w:tr>
      <w:tr w:rsidR="00C30E65" w:rsidTr="00941A37">
        <w:trPr>
          <w:gridAfter w:val="1"/>
          <w:wAfter w:w="2050" w:type="dxa"/>
          <w:trHeight w:val="331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经营能力</w:t>
            </w:r>
          </w:p>
          <w:p w:rsidR="00C30E65" w:rsidRDefault="00C30E65" w:rsidP="00941A3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分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获利能力，占20%，共2分。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283"/>
        </w:trPr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营运能力，占25%，共2.5分。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283"/>
        </w:trPr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偿债能力,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占30%，共3分。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gridAfter w:val="1"/>
          <w:wAfter w:w="2050" w:type="dxa"/>
          <w:trHeight w:val="283"/>
        </w:trPr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增长能力，占25%，共2.5分。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</w:tbl>
    <w:p w:rsidR="00C30E65" w:rsidRDefault="00C30E65" w:rsidP="00C30E65">
      <w:pPr>
        <w:spacing w:beforeLines="50" w:afterLines="50" w:line="276" w:lineRule="auto"/>
        <w:rPr>
          <w:sz w:val="20"/>
          <w:szCs w:val="20"/>
        </w:rPr>
        <w:sectPr w:rsidR="00C30E65">
          <w:headerReference w:type="default" r:id="rId6"/>
          <w:pgSz w:w="16834" w:h="11909" w:orient="landscape"/>
          <w:pgMar w:top="1418" w:right="1474" w:bottom="1418" w:left="1247" w:header="992" w:footer="567" w:gutter="0"/>
          <w:cols w:space="720"/>
          <w:docGrid w:linePitch="285"/>
        </w:sectPr>
      </w:pPr>
      <w:r>
        <w:rPr>
          <w:rFonts w:hint="eastAsia"/>
          <w:sz w:val="20"/>
          <w:szCs w:val="20"/>
        </w:rPr>
        <w:t>备注：注册不满6个月的公司视为“新成立的公司”，“新成立的公司”如不能提供销售业绩，则行业经验评价得1</w:t>
      </w:r>
      <w:r>
        <w:rPr>
          <w:sz w:val="20"/>
          <w:szCs w:val="20"/>
        </w:rPr>
        <w:t>0分</w:t>
      </w:r>
      <w:r>
        <w:rPr>
          <w:rFonts w:hint="eastAsia"/>
          <w:sz w:val="20"/>
          <w:szCs w:val="20"/>
        </w:rPr>
        <w:t>；</w:t>
      </w:r>
      <w:r>
        <w:rPr>
          <w:sz w:val="20"/>
          <w:szCs w:val="20"/>
        </w:rPr>
        <w:t>经营能力评价得</w:t>
      </w:r>
      <w:r>
        <w:rPr>
          <w:rFonts w:hint="eastAsia"/>
          <w:sz w:val="20"/>
          <w:szCs w:val="20"/>
        </w:rPr>
        <w:t>5分。</w:t>
      </w:r>
    </w:p>
    <w:p w:rsidR="00C30E65" w:rsidRDefault="00C30E65" w:rsidP="00C30E65"/>
    <w:tbl>
      <w:tblPr>
        <w:tblW w:w="14233" w:type="dxa"/>
        <w:tblInd w:w="93" w:type="dxa"/>
        <w:tblLayout w:type="fixed"/>
        <w:tblLook w:val="0000"/>
      </w:tblPr>
      <w:tblGrid>
        <w:gridCol w:w="236"/>
        <w:gridCol w:w="1712"/>
        <w:gridCol w:w="5155"/>
        <w:gridCol w:w="771"/>
        <w:gridCol w:w="576"/>
        <w:gridCol w:w="921"/>
        <w:gridCol w:w="1049"/>
        <w:gridCol w:w="894"/>
        <w:gridCol w:w="881"/>
        <w:gridCol w:w="868"/>
        <w:gridCol w:w="1170"/>
      </w:tblGrid>
      <w:tr w:rsidR="00C30E65" w:rsidTr="00941A37">
        <w:trPr>
          <w:trHeight w:val="465"/>
        </w:trPr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C30E65" w:rsidRDefault="00C30E65" w:rsidP="00941A37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997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30E65" w:rsidRDefault="00C30E65" w:rsidP="00941A3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供应商财务指标评价</w:t>
            </w: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指标名称</w:t>
            </w:r>
          </w:p>
        </w:tc>
        <w:tc>
          <w:tcPr>
            <w:tcW w:w="5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指标说明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报表数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权重</w:t>
            </w:r>
          </w:p>
        </w:tc>
        <w:tc>
          <w:tcPr>
            <w:tcW w:w="4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大型企业标准值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</w:p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5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平均值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较低值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较差值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一、获利能力分析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、净资产收益率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净利润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资本金总额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16.2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、总资产利润率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（利润总额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利息支出净额）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平均资产总值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-6.2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3、营业利润率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营业利润/主营业务收入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cs="Times New Roman" w:hint="eastAsia"/>
                <w:sz w:val="18"/>
                <w:szCs w:val="18"/>
              </w:rPr>
              <w:t>、盈余现金保障倍数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经营现金净流量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净利润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cs="Times New Roman" w:hint="eastAsia"/>
                <w:sz w:val="18"/>
                <w:szCs w:val="18"/>
              </w:rPr>
              <w:t>、成本费用利润率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营业利润/（销售成本+销售费用+管理费用+财务费用）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二、营运能力分析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、总资产周转率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产品销售收入净额/平均资产总额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、流动资产周转率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产品销售成本净额/流动资产平均占用额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、资产现金回收率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经营活动现金流量净额/企业资产总额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-1.6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4、应收帐款周转率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销售收入净额/应收账款平均余额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34.9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24.7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三、偿债能力分析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、资产负债率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流动资产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资产总额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52.5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60.8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71.9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84.4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、速动比率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速动资产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流动负债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125.8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107.9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、已获利息倍数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(利润总额+利息收入)/利息支出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四、增长能力分析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、销售收入增长率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本年营业收入增长额/上年主营业务收入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33.9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-2.1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-10.5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9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、利润增长率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(本年主营业务利润-上年主营业务利润)/上年主营业务利润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24.5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-20.6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-33.2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710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</w:tbl>
    <w:p w:rsidR="00C30E65" w:rsidRDefault="00C30E65" w:rsidP="00C30E65">
      <w:pPr>
        <w:pageBreakBefore/>
        <w:spacing w:line="240" w:lineRule="atLeast"/>
        <w:outlineLvl w:val="0"/>
        <w:rPr>
          <w:rFonts w:cs="Times New Roman"/>
          <w:b/>
        </w:rPr>
      </w:pPr>
    </w:p>
    <w:p w:rsidR="00C30E65" w:rsidRDefault="00C30E65" w:rsidP="00C30E65">
      <w:pPr>
        <w:jc w:val="center"/>
        <w:rPr>
          <w:rFonts w:ascii="Times New Roman" w:hAnsi="Times New Roman" w:cs="Times New Roman"/>
        </w:rPr>
      </w:pPr>
      <w:r>
        <w:rPr>
          <w:rFonts w:hint="eastAsia"/>
          <w:b/>
          <w:bCs/>
          <w:sz w:val="36"/>
          <w:szCs w:val="36"/>
        </w:rPr>
        <w:t>供应商财务指标评价</w:t>
      </w:r>
    </w:p>
    <w:tbl>
      <w:tblPr>
        <w:tblW w:w="14474" w:type="dxa"/>
        <w:tblInd w:w="93" w:type="dxa"/>
        <w:tblLayout w:type="fixed"/>
        <w:tblLook w:val="0000"/>
      </w:tblPr>
      <w:tblGrid>
        <w:gridCol w:w="1858"/>
        <w:gridCol w:w="4678"/>
        <w:gridCol w:w="882"/>
        <w:gridCol w:w="720"/>
        <w:gridCol w:w="886"/>
        <w:gridCol w:w="992"/>
        <w:gridCol w:w="1134"/>
        <w:gridCol w:w="992"/>
        <w:gridCol w:w="1418"/>
        <w:gridCol w:w="914"/>
      </w:tblGrid>
      <w:tr w:rsidR="00C30E65" w:rsidTr="00941A37">
        <w:trPr>
          <w:trHeight w:val="369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指标名称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指标说明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报表数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权重</w:t>
            </w:r>
          </w:p>
        </w:tc>
        <w:tc>
          <w:tcPr>
            <w:tcW w:w="54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中型企业标准值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 w:rsidR="00C30E65" w:rsidTr="00941A37">
        <w:trPr>
          <w:trHeight w:val="369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ind w:rightChars="-62" w:right="-14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较低值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较差值</w:t>
            </w: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一、获利能力分析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ind w:rightChars="-591" w:right="-141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、净资产收益率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净利润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资本金总额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-6.4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、总资产利润率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（利润总额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利息支出净额）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平均资产总值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-3.8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-10.6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3、营业利润率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营业利润/主营业务收入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cs="Times New Roman" w:hint="eastAsia"/>
                <w:sz w:val="18"/>
                <w:szCs w:val="18"/>
              </w:rPr>
              <w:t>、盈余现金保障倍数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经营现金净流量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净利润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-7.9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cs="Times New Roman" w:hint="eastAsia"/>
                <w:sz w:val="18"/>
                <w:szCs w:val="18"/>
              </w:rPr>
              <w:t>、成本费用利润率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营业利润/（销售成本+销售费用+管理费用+财务费用）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-9.8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二、营运能力分析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、总资产周转率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产品销售收入净额/平均资产总额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、流动资产周转率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产品销售成本净额/流动资产平均占用额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、资产现金回收率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经营活动现金流量净额/企业资产总额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-7.5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4、应收帐款周转率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销售收入净额/应收账款平均余额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三、偿债能力分析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、资产负债率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流动资产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资产总额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96.2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、速动比率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速动资产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流动负债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、已获利息倍数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(利润总额+利息收入)/利息支出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四、增长能力分析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、销售收入增长率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本年营业收入增长额/上年主营业务收入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-7.8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-18.1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、利润增长率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(本年主营业务利润-上年主营业务利润)/上年主营业务利润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369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</w:tbl>
    <w:p w:rsidR="00C30E65" w:rsidRDefault="00C30E65" w:rsidP="00C30E65">
      <w:pPr>
        <w:spacing w:line="480" w:lineRule="auto"/>
        <w:rPr>
          <w:rFonts w:ascii="Times New Roman" w:hAnsi="Times New Roman" w:cs="Times New Roman"/>
        </w:rPr>
        <w:sectPr w:rsidR="00C30E65">
          <w:pgSz w:w="16834" w:h="11909" w:orient="landscape"/>
          <w:pgMar w:top="1418" w:right="1474" w:bottom="1418" w:left="1247" w:header="799" w:footer="799" w:gutter="0"/>
          <w:cols w:space="720"/>
          <w:docGrid w:linePitch="285"/>
        </w:sectPr>
      </w:pPr>
    </w:p>
    <w:p w:rsidR="00C30E65" w:rsidRDefault="00C30E65" w:rsidP="00C30E65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供应商财务指标评价</w:t>
      </w:r>
    </w:p>
    <w:tbl>
      <w:tblPr>
        <w:tblW w:w="14860" w:type="dxa"/>
        <w:jc w:val="center"/>
        <w:tblLayout w:type="fixed"/>
        <w:tblLook w:val="0000"/>
      </w:tblPr>
      <w:tblGrid>
        <w:gridCol w:w="1997"/>
        <w:gridCol w:w="4925"/>
        <w:gridCol w:w="882"/>
        <w:gridCol w:w="720"/>
        <w:gridCol w:w="1169"/>
        <w:gridCol w:w="1016"/>
        <w:gridCol w:w="1005"/>
        <w:gridCol w:w="994"/>
        <w:gridCol w:w="1124"/>
        <w:gridCol w:w="1028"/>
      </w:tblGrid>
      <w:tr w:rsidR="00C30E65" w:rsidTr="00941A37">
        <w:trPr>
          <w:trHeight w:val="246"/>
          <w:jc w:val="center"/>
        </w:trPr>
        <w:tc>
          <w:tcPr>
            <w:tcW w:w="1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指标名称</w:t>
            </w:r>
          </w:p>
        </w:tc>
        <w:tc>
          <w:tcPr>
            <w:tcW w:w="49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指标说明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报表数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权重</w:t>
            </w:r>
          </w:p>
        </w:tc>
        <w:tc>
          <w:tcPr>
            <w:tcW w:w="53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小型企业标准值</w:t>
            </w:r>
          </w:p>
        </w:tc>
        <w:tc>
          <w:tcPr>
            <w:tcW w:w="10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</w:tr>
      <w:tr w:rsidR="00C30E65" w:rsidTr="00941A37">
        <w:trPr>
          <w:trHeight w:val="193"/>
          <w:jc w:val="center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49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较低值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较差值</w:t>
            </w: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一、获利能力分析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、净资产收益率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净利润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资本金总额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18.8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-7.5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、总资产利润率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（利润总额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利息支出净额）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平均资产总值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-4.8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-12.2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3、营业利润率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营业利润/主营业务收入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16.6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cs="Times New Roman" w:hint="eastAsia"/>
                <w:sz w:val="18"/>
                <w:szCs w:val="18"/>
              </w:rPr>
              <w:t>、盈余现金保障倍数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经营现金净流量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净利润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-1.6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-6.1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cs="Times New Roman" w:hint="eastAsia"/>
                <w:sz w:val="18"/>
                <w:szCs w:val="18"/>
              </w:rPr>
              <w:t>、成本费用利润率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营业利润/（销售成本+销售费用+管理费用+财务费用）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-4.9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-15.7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二、营运能力分析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、总资产周转率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产品销售收入净额/平均资产总额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、流动资产周转率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产品销售成本净额/流动资产平均占用额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、资产现金回收率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经营活动现金流量净额/企业资产总额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-6.9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-14.4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4、应收帐款周转率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销售收入净额/应收账款平均余额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18.7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三、偿债能力分析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、资产负债率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流动资产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资产总额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59.9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82.9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91.5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96.8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、速动比率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速动资产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流动负债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61.6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36.4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、已获利息倍数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(利润总额+利息收入)/利息支出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-2.4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四、增长能力分析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、销售收入增长率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本年营业收入增长额/上年主营业务收入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23.5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-10.2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-20.3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、利润增长率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(本年主营业务利润-上年主营业务利润)/上年主营业务利润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-3.1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-19.3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-33.6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E65" w:rsidTr="00941A37">
        <w:trPr>
          <w:trHeight w:val="283"/>
          <w:jc w:val="center"/>
        </w:trPr>
        <w:tc>
          <w:tcPr>
            <w:tcW w:w="69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0E65" w:rsidRDefault="00C30E65" w:rsidP="00941A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E65" w:rsidRDefault="00C30E65" w:rsidP="00941A37">
            <w:pPr>
              <w:rPr>
                <w:sz w:val="18"/>
                <w:szCs w:val="18"/>
              </w:rPr>
            </w:pPr>
          </w:p>
        </w:tc>
      </w:tr>
    </w:tbl>
    <w:p w:rsidR="00C30E65" w:rsidRDefault="00C30E65" w:rsidP="00C30E65">
      <w:r>
        <w:rPr>
          <w:rFonts w:hint="eastAsia"/>
        </w:rPr>
        <w:t>注：</w:t>
      </w:r>
    </w:p>
    <w:p w:rsidR="00C30E65" w:rsidRDefault="00C30E65" w:rsidP="00C30E65">
      <w:pPr>
        <w:rPr>
          <w:szCs w:val="21"/>
        </w:rPr>
      </w:pPr>
      <w:r>
        <w:rPr>
          <w:rFonts w:hint="eastAsia"/>
          <w:szCs w:val="21"/>
        </w:rPr>
        <w:t>1.大型企业：年销售额30000万元以上及从业人员200人以上；</w:t>
      </w:r>
    </w:p>
    <w:p w:rsidR="00C30E65" w:rsidRDefault="00C30E65" w:rsidP="00C30E65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lastRenderedPageBreak/>
        <w:t>中型企业：年销售额3000-30000万元之间，从业人100-200之间；</w:t>
      </w:r>
    </w:p>
    <w:p w:rsidR="00C30E65" w:rsidRDefault="00C30E65" w:rsidP="00C30E65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小型企业：年销售额3000万元以下，从业人员100人以下;</w:t>
      </w:r>
    </w:p>
    <w:p w:rsidR="00C30E65" w:rsidRDefault="00C30E65" w:rsidP="00C30E65">
      <w:pPr>
        <w:rPr>
          <w:szCs w:val="21"/>
        </w:rPr>
      </w:pPr>
      <w:r>
        <w:rPr>
          <w:rFonts w:hint="eastAsia"/>
          <w:szCs w:val="21"/>
        </w:rPr>
        <w:t>2.指标≥优秀值的为100分，优秀值＞指标≥良好值为90-100分之间；</w:t>
      </w:r>
    </w:p>
    <w:p w:rsidR="00C30E65" w:rsidRDefault="00C30E65" w:rsidP="00C30E65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良好值＞指标≥平均值为70-90分之间；平均值＞指标≥较低为60-70分之间；</w:t>
      </w:r>
    </w:p>
    <w:p w:rsidR="00342315" w:rsidRDefault="00C30E65" w:rsidP="00C30E65">
      <w:r>
        <w:rPr>
          <w:rFonts w:hint="eastAsia"/>
          <w:szCs w:val="21"/>
        </w:rPr>
        <w:t>指标＜较低值为0-60分之间。</w:t>
      </w:r>
    </w:p>
    <w:sectPr w:rsidR="00342315" w:rsidSect="00C30E6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315" w:rsidRDefault="00342315" w:rsidP="00C30E65">
      <w:r>
        <w:separator/>
      </w:r>
    </w:p>
  </w:endnote>
  <w:endnote w:type="continuationSeparator" w:id="1">
    <w:p w:rsidR="00342315" w:rsidRDefault="00342315" w:rsidP="00C30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315" w:rsidRDefault="00342315" w:rsidP="00C30E65">
      <w:r>
        <w:separator/>
      </w:r>
    </w:p>
  </w:footnote>
  <w:footnote w:type="continuationSeparator" w:id="1">
    <w:p w:rsidR="00342315" w:rsidRDefault="00342315" w:rsidP="00C30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E65" w:rsidRDefault="00C30E65">
    <w:pP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E65"/>
    <w:rsid w:val="00342315"/>
    <w:rsid w:val="00C3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6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0E6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0E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0E6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0E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561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徐罡</dc:creator>
  <cp:keywords/>
  <dc:description/>
  <cp:lastModifiedBy>徐罡</cp:lastModifiedBy>
  <cp:revision>2</cp:revision>
  <dcterms:created xsi:type="dcterms:W3CDTF">2022-01-14T00:43:00Z</dcterms:created>
  <dcterms:modified xsi:type="dcterms:W3CDTF">2022-01-14T00:44:00Z</dcterms:modified>
</cp:coreProperties>
</file>