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11"/>
        <w:jc w:val="center"/>
        <w:rPr>
          <w:rFonts w:asciiTheme="majorEastAsia" w:hAnsiTheme="majorEastAsia"/>
          <w:b/>
          <w:bCs/>
          <w:sz w:val="44"/>
          <w:szCs w:val="44"/>
        </w:rPr>
      </w:pPr>
    </w:p>
    <w:p>
      <w:pPr>
        <w:pStyle w:val="11"/>
        <w:jc w:val="center"/>
        <w:rPr>
          <w:rFonts w:asciiTheme="majorEastAsia" w:hAnsiTheme="majorEastAsia"/>
          <w:b/>
          <w:bCs/>
          <w:sz w:val="44"/>
          <w:szCs w:val="44"/>
        </w:rPr>
      </w:pP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华能海南昌江</w:t>
      </w:r>
      <w:r>
        <w:rPr>
          <w:rFonts w:ascii="方正小标宋简体" w:hAnsi="方正小标宋简体" w:eastAsia="方正小标宋简体" w:cs="方正小标宋简体"/>
          <w:sz w:val="44"/>
          <w:szCs w:val="44"/>
        </w:rPr>
        <w:t>核电有限公司</w:t>
      </w:r>
    </w:p>
    <w:p>
      <w:pPr>
        <w:widowControl/>
        <w:spacing w:before="163" w:beforeLines="50"/>
        <w:jc w:val="center"/>
        <w:rPr>
          <w:rFonts w:ascii="方正小标宋简体" w:hAnsi="方正小标宋简体" w:eastAsia="方正小标宋简体" w:cs="方正小标宋简体"/>
          <w:sz w:val="44"/>
          <w:szCs w:val="44"/>
        </w:rPr>
      </w:pPr>
      <w:bookmarkStart w:id="0" w:name="_Toc12732"/>
      <w:r>
        <w:rPr>
          <w:rFonts w:hint="eastAsia" w:ascii="方正小标宋简体" w:hAnsi="方正小标宋简体" w:eastAsia="方正小标宋简体" w:cs="方正小标宋简体"/>
          <w:sz w:val="44"/>
          <w:szCs w:val="44"/>
        </w:rPr>
        <w:t>智能安全移动办公平台采购技术规格书</w:t>
      </w:r>
      <w:bookmarkEnd w:id="0"/>
    </w:p>
    <w:p>
      <w:pPr>
        <w:widowControl/>
        <w:spacing w:line="460" w:lineRule="exact"/>
        <w:jc w:val="center"/>
        <w:rPr>
          <w:rFonts w:ascii="Times New Roman" w:hAnsi="Times New Roman" w:eastAsia="宋体"/>
          <w:b/>
          <w:sz w:val="44"/>
          <w:szCs w:val="44"/>
        </w:rPr>
      </w:pPr>
    </w:p>
    <w:p>
      <w:pPr>
        <w:widowControl/>
        <w:spacing w:line="460" w:lineRule="exact"/>
        <w:jc w:val="center"/>
        <w:rPr>
          <w:rFonts w:ascii="Times New Roman" w:hAnsi="Times New Roman" w:eastAsia="宋体"/>
          <w:b/>
          <w:sz w:val="32"/>
          <w:szCs w:val="32"/>
        </w:rPr>
      </w:pPr>
    </w:p>
    <w:p>
      <w:pPr>
        <w:widowControl/>
        <w:spacing w:line="460" w:lineRule="exact"/>
        <w:jc w:val="center"/>
        <w:rPr>
          <w:rFonts w:ascii="Times New Roman" w:hAnsi="Times New Roman" w:eastAsia="宋体"/>
          <w:b/>
          <w:sz w:val="32"/>
          <w:szCs w:val="32"/>
        </w:rPr>
      </w:pPr>
    </w:p>
    <w:p>
      <w:pPr>
        <w:widowControl/>
        <w:spacing w:line="460" w:lineRule="exact"/>
        <w:jc w:val="center"/>
        <w:rPr>
          <w:rFonts w:ascii="Times New Roman" w:hAnsi="Times New Roman" w:eastAsia="宋体"/>
          <w:b/>
          <w:sz w:val="32"/>
          <w:szCs w:val="32"/>
        </w:rPr>
      </w:pPr>
    </w:p>
    <w:p>
      <w:pPr>
        <w:widowControl/>
        <w:spacing w:line="460" w:lineRule="exact"/>
        <w:rPr>
          <w:rFonts w:ascii="Times New Roman" w:hAnsi="Times New Roman" w:eastAsia="宋体"/>
          <w:b/>
          <w:sz w:val="32"/>
          <w:szCs w:val="32"/>
        </w:rPr>
      </w:pPr>
    </w:p>
    <w:p>
      <w:pPr>
        <w:widowControl/>
        <w:spacing w:line="460" w:lineRule="exact"/>
        <w:rPr>
          <w:rFonts w:ascii="Times New Roman" w:hAnsi="Times New Roman" w:eastAsia="宋体"/>
          <w:b/>
          <w:sz w:val="32"/>
          <w:szCs w:val="32"/>
        </w:rPr>
      </w:pPr>
    </w:p>
    <w:p>
      <w:pPr>
        <w:widowControl/>
        <w:spacing w:line="460" w:lineRule="exact"/>
        <w:jc w:val="center"/>
        <w:rPr>
          <w:rFonts w:ascii="Times New Roman" w:hAnsi="Times New Roman" w:eastAsia="宋体"/>
          <w:b/>
          <w:sz w:val="32"/>
          <w:szCs w:val="32"/>
        </w:rPr>
      </w:pPr>
    </w:p>
    <w:p>
      <w:pPr>
        <w:widowControl/>
        <w:spacing w:line="460" w:lineRule="exact"/>
        <w:jc w:val="center"/>
        <w:rPr>
          <w:rFonts w:ascii="Times New Roman" w:hAnsi="Times New Roman" w:eastAsia="宋体"/>
          <w:b/>
          <w:sz w:val="32"/>
          <w:szCs w:val="32"/>
        </w:rPr>
      </w:pPr>
    </w:p>
    <w:p>
      <w:pPr>
        <w:widowControl/>
        <w:spacing w:line="460" w:lineRule="exact"/>
        <w:jc w:val="center"/>
        <w:rPr>
          <w:rFonts w:ascii="Times New Roman" w:hAnsi="Times New Roman" w:eastAsia="宋体"/>
          <w:b/>
          <w:sz w:val="32"/>
          <w:szCs w:val="32"/>
        </w:rPr>
      </w:pPr>
    </w:p>
    <w:p>
      <w:pPr>
        <w:widowControl/>
        <w:spacing w:line="360" w:lineRule="auto"/>
        <w:jc w:val="center"/>
        <w:rPr>
          <w:rFonts w:ascii="Times New Roman" w:hAnsi="Times New Roman" w:eastAsia="宋体"/>
          <w:b/>
          <w:sz w:val="32"/>
          <w:szCs w:val="32"/>
        </w:rPr>
      </w:pPr>
    </w:p>
    <w:p>
      <w:pPr>
        <w:widowControl/>
        <w:spacing w:line="360" w:lineRule="auto"/>
        <w:jc w:val="center"/>
        <w:outlineLvl w:val="0"/>
        <w:rPr>
          <w:rFonts w:ascii="Times New Roman" w:hAnsi="Times New Roman" w:eastAsia="宋体"/>
          <w:b/>
          <w:sz w:val="32"/>
          <w:szCs w:val="32"/>
        </w:rPr>
      </w:pPr>
      <w:bookmarkStart w:id="1" w:name="_Toc4327"/>
      <w:r>
        <w:rPr>
          <w:rFonts w:ascii="Times New Roman" w:hAnsi="Times New Roman" w:eastAsia="宋体"/>
          <w:b/>
          <w:sz w:val="32"/>
          <w:szCs w:val="32"/>
        </w:rPr>
        <w:t>批准：        日期：</w:t>
      </w:r>
      <w:bookmarkEnd w:id="1"/>
    </w:p>
    <w:p>
      <w:pPr>
        <w:widowControl/>
        <w:spacing w:line="360" w:lineRule="auto"/>
        <w:jc w:val="center"/>
        <w:outlineLvl w:val="0"/>
        <w:rPr>
          <w:rFonts w:ascii="Times New Roman" w:hAnsi="Times New Roman" w:eastAsia="宋体"/>
          <w:b/>
          <w:sz w:val="32"/>
          <w:szCs w:val="32"/>
        </w:rPr>
      </w:pPr>
      <w:bookmarkStart w:id="2" w:name="_Toc22986"/>
      <w:r>
        <w:rPr>
          <w:rFonts w:ascii="Times New Roman" w:hAnsi="Times New Roman" w:eastAsia="宋体"/>
          <w:b/>
          <w:sz w:val="32"/>
          <w:szCs w:val="32"/>
        </w:rPr>
        <w:t>会签：        日期：</w:t>
      </w:r>
      <w:bookmarkEnd w:id="2"/>
    </w:p>
    <w:p>
      <w:pPr>
        <w:widowControl/>
        <w:spacing w:line="360" w:lineRule="auto"/>
        <w:jc w:val="center"/>
        <w:outlineLvl w:val="0"/>
        <w:rPr>
          <w:rFonts w:ascii="Times New Roman" w:hAnsi="Times New Roman" w:eastAsia="宋体"/>
          <w:b/>
          <w:sz w:val="32"/>
          <w:szCs w:val="32"/>
        </w:rPr>
      </w:pPr>
      <w:bookmarkStart w:id="3" w:name="_Toc15560"/>
      <w:r>
        <w:rPr>
          <w:rFonts w:ascii="Times New Roman" w:hAnsi="Times New Roman" w:eastAsia="宋体"/>
          <w:b/>
          <w:sz w:val="32"/>
          <w:szCs w:val="32"/>
        </w:rPr>
        <w:t>审核：        日期：</w:t>
      </w:r>
      <w:bookmarkEnd w:id="3"/>
    </w:p>
    <w:p>
      <w:pPr>
        <w:widowControl/>
        <w:spacing w:line="360" w:lineRule="auto"/>
        <w:jc w:val="center"/>
        <w:outlineLvl w:val="0"/>
        <w:rPr>
          <w:rFonts w:ascii="Times New Roman" w:hAnsi="Times New Roman" w:eastAsia="宋体"/>
          <w:b/>
          <w:sz w:val="32"/>
          <w:szCs w:val="32"/>
        </w:rPr>
      </w:pPr>
      <w:bookmarkStart w:id="4" w:name="_Toc653"/>
      <w:r>
        <w:rPr>
          <w:rFonts w:ascii="Times New Roman" w:hAnsi="Times New Roman" w:eastAsia="宋体"/>
          <w:b/>
          <w:sz w:val="32"/>
          <w:szCs w:val="32"/>
        </w:rPr>
        <w:t>编制：        日期：</w:t>
      </w:r>
      <w:bookmarkEnd w:id="4"/>
    </w:p>
    <w:p>
      <w:pPr>
        <w:widowControl/>
        <w:spacing w:line="460" w:lineRule="exact"/>
        <w:jc w:val="center"/>
        <w:outlineLvl w:val="0"/>
        <w:rPr>
          <w:rFonts w:ascii="Times New Roman" w:hAnsi="Times New Roman" w:eastAsia="宋体"/>
          <w:b/>
          <w:sz w:val="32"/>
          <w:szCs w:val="32"/>
        </w:rPr>
      </w:pPr>
    </w:p>
    <w:p>
      <w:pPr>
        <w:widowControl/>
        <w:spacing w:line="460" w:lineRule="exact"/>
        <w:jc w:val="center"/>
        <w:outlineLvl w:val="0"/>
        <w:rPr>
          <w:rFonts w:ascii="Times New Roman" w:hAnsi="Times New Roman" w:eastAsia="宋体"/>
          <w:b/>
          <w:sz w:val="32"/>
          <w:szCs w:val="32"/>
        </w:rPr>
      </w:pPr>
      <w:bookmarkStart w:id="5" w:name="_Toc11763"/>
      <w:r>
        <w:rPr>
          <w:rFonts w:ascii="Times New Roman" w:hAnsi="Times New Roman" w:eastAsia="宋体"/>
          <w:b/>
          <w:sz w:val="32"/>
          <w:szCs w:val="32"/>
        </w:rPr>
        <w:t>华能海南昌江核电有限公司</w:t>
      </w:r>
      <w:bookmarkEnd w:id="5"/>
    </w:p>
    <w:p>
      <w:pPr>
        <w:widowControl/>
        <w:spacing w:line="460" w:lineRule="exact"/>
        <w:jc w:val="center"/>
        <w:outlineLvl w:val="0"/>
        <w:rPr>
          <w:rFonts w:ascii="Times New Roman" w:hAnsi="Times New Roman" w:eastAsia="宋体"/>
          <w:bCs/>
          <w:szCs w:val="21"/>
        </w:rPr>
      </w:pPr>
      <w:bookmarkStart w:id="6" w:name="_Toc6858"/>
      <w:r>
        <w:rPr>
          <w:rFonts w:ascii="Times New Roman" w:hAnsi="Times New Roman" w:eastAsia="宋体"/>
          <w:b/>
          <w:sz w:val="32"/>
          <w:szCs w:val="32"/>
        </w:rPr>
        <w:t>2021年</w:t>
      </w:r>
      <w:r>
        <w:rPr>
          <w:rFonts w:hint="eastAsia" w:ascii="Times New Roman" w:hAnsi="Times New Roman" w:eastAsia="宋体"/>
          <w:b/>
          <w:sz w:val="32"/>
          <w:szCs w:val="32"/>
        </w:rPr>
        <w:t>10</w:t>
      </w:r>
      <w:r>
        <w:rPr>
          <w:rFonts w:ascii="Times New Roman" w:hAnsi="Times New Roman" w:eastAsia="宋体"/>
          <w:b/>
          <w:sz w:val="32"/>
          <w:szCs w:val="32"/>
        </w:rPr>
        <w:t>月</w:t>
      </w:r>
      <w:bookmarkEnd w:id="6"/>
    </w:p>
    <w:p>
      <w:pPr>
        <w:widowControl/>
        <w:adjustRightInd/>
        <w:spacing w:line="240" w:lineRule="auto"/>
        <w:jc w:val="left"/>
        <w:textAlignment w:val="auto"/>
        <w:rPr>
          <w:rFonts w:ascii="宋体" w:hAnsi="宋体"/>
          <w:b/>
          <w:bCs/>
          <w:sz w:val="32"/>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800" w:header="850" w:footer="992" w:gutter="0"/>
          <w:pgNumType w:start="1"/>
          <w:cols w:space="425" w:num="1"/>
          <w:titlePg/>
          <w:docGrid w:type="lines" w:linePitch="326" w:charSpace="0"/>
        </w:sectPr>
      </w:pP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1</w:t>
      </w:r>
      <w:r>
        <w:rPr>
          <w:rFonts w:ascii="黑体" w:hAnsi="黑体" w:eastAsia="黑体"/>
          <w:b/>
          <w:bCs/>
          <w:color w:val="auto"/>
          <w:sz w:val="32"/>
          <w:szCs w:val="32"/>
        </w:rPr>
        <w:t>.项目概述</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.1</w:t>
      </w:r>
      <w:r>
        <w:rPr>
          <w:rFonts w:hint="eastAsia" w:ascii="楷体_GB2312" w:eastAsia="楷体_GB2312"/>
          <w:b/>
          <w:color w:val="auto"/>
          <w:sz w:val="30"/>
          <w:szCs w:val="30"/>
        </w:rPr>
        <w:t>项目背景</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华能海南昌江核电有限公司（以下简称“采购方”）位于海南省昌江黎族自治县海尾镇塘兴村，负责昌江核电二期工程项目建设和运营，昌江核电二期工程规划建设两台1</w:t>
      </w:r>
      <w:r>
        <w:rPr>
          <w:rFonts w:ascii="仿宋_GB2312" w:hAnsi="宋体" w:eastAsia="仿宋_GB2312"/>
          <w:color w:val="auto"/>
          <w:sz w:val="30"/>
          <w:szCs w:val="30"/>
        </w:rPr>
        <w:t>20</w:t>
      </w:r>
      <w:r>
        <w:rPr>
          <w:rFonts w:hint="eastAsia" w:ascii="仿宋_GB2312" w:hAnsi="宋体" w:eastAsia="仿宋_GB2312"/>
          <w:color w:val="auto"/>
          <w:sz w:val="30"/>
          <w:szCs w:val="30"/>
        </w:rPr>
        <w:t>万千瓦核电机组，采用具有我国自主知识产权的“华龙一号”技术方案，昌江核电二期工程于2</w:t>
      </w:r>
      <w:r>
        <w:rPr>
          <w:rFonts w:ascii="仿宋_GB2312" w:hAnsi="宋体" w:eastAsia="仿宋_GB2312"/>
          <w:color w:val="auto"/>
          <w:sz w:val="30"/>
          <w:szCs w:val="30"/>
        </w:rPr>
        <w:t>021</w:t>
      </w:r>
      <w:r>
        <w:rPr>
          <w:rFonts w:hint="eastAsia" w:ascii="仿宋_GB2312" w:hAnsi="宋体" w:eastAsia="仿宋_GB2312"/>
          <w:color w:val="auto"/>
          <w:sz w:val="30"/>
          <w:szCs w:val="30"/>
        </w:rPr>
        <w:t>年3月3</w:t>
      </w:r>
      <w:r>
        <w:rPr>
          <w:rFonts w:ascii="仿宋_GB2312" w:hAnsi="宋体" w:eastAsia="仿宋_GB2312"/>
          <w:color w:val="auto"/>
          <w:sz w:val="30"/>
          <w:szCs w:val="30"/>
        </w:rPr>
        <w:t>1</w:t>
      </w:r>
      <w:r>
        <w:rPr>
          <w:rFonts w:hint="eastAsia" w:ascii="仿宋_GB2312" w:hAnsi="宋体" w:eastAsia="仿宋_GB2312"/>
          <w:color w:val="auto"/>
          <w:sz w:val="30"/>
          <w:szCs w:val="30"/>
        </w:rPr>
        <w:t>日正式开工建设。</w:t>
      </w:r>
    </w:p>
    <w:p>
      <w:pPr>
        <w:ind w:firstLine="600" w:firstLineChars="200"/>
        <w:rPr>
          <w:rFonts w:ascii="仿宋_GB2312" w:hAnsi="仿宋_GB2312" w:eastAsia="仿宋_GB2312" w:cs="仿宋_GB2312"/>
          <w:color w:val="auto"/>
          <w:sz w:val="30"/>
          <w:szCs w:val="30"/>
        </w:rPr>
      </w:pPr>
      <w:r>
        <w:rPr>
          <w:rFonts w:hint="eastAsia" w:ascii="仿宋_GB2312" w:hAnsi="宋体" w:eastAsia="仿宋_GB2312"/>
          <w:color w:val="auto"/>
          <w:sz w:val="30"/>
          <w:szCs w:val="30"/>
        </w:rPr>
        <w:t>为了满足昌江核电二期工程项目管理信息化需求，目前采购方已建立了一套比较完整的内网应用系统，包括</w:t>
      </w:r>
      <w:r>
        <w:rPr>
          <w:rFonts w:hint="eastAsia" w:ascii="仿宋_GB2312" w:hAnsi="仿宋_GB2312" w:eastAsia="仿宋_GB2312" w:cs="仿宋_GB2312"/>
          <w:color w:val="auto"/>
          <w:sz w:val="30"/>
          <w:szCs w:val="30"/>
        </w:rPr>
        <w:t>OA系统、邮件系统、综合管理系统、核电E</w:t>
      </w:r>
      <w:r>
        <w:rPr>
          <w:rFonts w:ascii="仿宋_GB2312" w:hAnsi="仿宋_GB2312" w:eastAsia="仿宋_GB2312" w:cs="仿宋_GB2312"/>
          <w:color w:val="auto"/>
          <w:sz w:val="30"/>
          <w:szCs w:val="30"/>
        </w:rPr>
        <w:t>RP系统、网上报销系统</w:t>
      </w:r>
      <w:r>
        <w:rPr>
          <w:rFonts w:hint="eastAsia" w:ascii="仿宋_GB2312" w:hAnsi="仿宋_GB2312" w:eastAsia="仿宋_GB2312" w:cs="仿宋_GB2312"/>
          <w:color w:val="auto"/>
          <w:sz w:val="30"/>
          <w:szCs w:val="30"/>
        </w:rPr>
        <w:t>、核电一体化辅助系统、法务系统、物资管理系统、风险管理系统和内网统一门户系统，并建立了内网统一门户系统与各应用系统的单点集成，实现了各业务系统工作任务的统一管理。</w:t>
      </w:r>
    </w:p>
    <w:p>
      <w:pPr>
        <w:ind w:firstLine="600" w:firstLineChars="200"/>
        <w:rPr>
          <w:rFonts w:ascii="仿宋_GB2312" w:hAnsi="宋体" w:eastAsia="仿宋_GB2312"/>
          <w:color w:val="auto"/>
          <w:sz w:val="30"/>
          <w:szCs w:val="30"/>
        </w:rPr>
      </w:pPr>
      <w:r>
        <w:rPr>
          <w:rFonts w:hint="eastAsia" w:ascii="仿宋_GB2312" w:hAnsi="仿宋_GB2312" w:eastAsia="仿宋_GB2312" w:cs="仿宋_GB2312"/>
          <w:color w:val="auto"/>
          <w:sz w:val="30"/>
          <w:szCs w:val="30"/>
        </w:rPr>
        <w:t>根据昌江核电二期工程项目建设管理的特点，采购方各级管理人员经常出差或在外网办公，需要从互联网访问内网业务，对移动办公具有紧迫的现实需求，采购方需要建设一套智能安全移动办公平台，满足项目管理人员安全高效移动办公需求。</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.2</w:t>
      </w:r>
      <w:r>
        <w:rPr>
          <w:rFonts w:hint="eastAsia" w:ascii="楷体_GB2312" w:eastAsia="楷体_GB2312"/>
          <w:b/>
          <w:color w:val="auto"/>
          <w:sz w:val="30"/>
          <w:szCs w:val="30"/>
        </w:rPr>
        <w:t>移动办公需求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目前采购方按照集团公司双网隔离的安全政策要求，建立了内网与外网隔离的“双网”架构。从互联网访问内网业务系统将增加内网业务暴露在互联网的风险，因此，需要建立一套安全高效的通过互联网访问内网的移动办公系统。</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经过对目前市场上技术路线比较前沿和成熟的移动办公技术和解决方案进行调研和测试，拟采用“PC沙箱+零信任安全网关”一体化技术方案，建立移动办公平台，能够全面解决移动办公过程中的各类安全问题。</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通过PC沙箱技术构建安全工作空间，提供安全可控的数据隔离和控制方案，确保内网应用产生的所有数据将会被加密保存在PC端沙箱内，无实际数据落地到个人终端。针对移动办公的操作行为进行限制，可对沙箱内的应用进行操作控制，如水印控制</w:t>
      </w:r>
      <w:r>
        <w:rPr>
          <w:rFonts w:hint="eastAsia" w:ascii="仿宋_GB2312" w:hAnsi="宋体" w:eastAsia="仿宋_GB2312"/>
          <w:sz w:val="30"/>
          <w:szCs w:val="30"/>
        </w:rPr>
        <w:t>、截屏控制、</w:t>
      </w:r>
      <w:r>
        <w:rPr>
          <w:rFonts w:hint="eastAsia" w:ascii="仿宋_GB2312" w:hAnsi="宋体" w:eastAsia="仿宋_GB2312"/>
          <w:color w:val="auto"/>
          <w:sz w:val="30"/>
          <w:szCs w:val="30"/>
        </w:rPr>
        <w:t>网络控制、打印控制、数据隔离、双因子身份认证、传输隧道加密、操作审计等，防止终端上的数据泄露。通过以零信任接入技术，提供数据传输隧道加密，对移动办公业务应用数据流转的全链路进行有效管控，降低敏感应用数据在通信传输环节发生泄露的风险。</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.3标准与偏差</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需执行本规范书所列要求、标准，本规范书未提及的内容，则应满足或优于相关国家标准、电力行业标准等，有矛盾</w:t>
      </w:r>
      <w:r>
        <w:rPr>
          <w:rFonts w:hint="eastAsia" w:ascii="仿宋_GB2312" w:hAnsi="宋体" w:eastAsia="仿宋_GB2312"/>
          <w:color w:val="auto"/>
          <w:sz w:val="30"/>
          <w:szCs w:val="30"/>
        </w:rPr>
        <w:t>时</w:t>
      </w:r>
      <w:r>
        <w:rPr>
          <w:rFonts w:ascii="仿宋_GB2312" w:hAnsi="宋体" w:eastAsia="仿宋_GB2312"/>
          <w:color w:val="auto"/>
          <w:sz w:val="30"/>
          <w:szCs w:val="30"/>
        </w:rPr>
        <w:t>，按较高标准执行。所有标准都会被修订，</w:t>
      </w:r>
      <w:r>
        <w:rPr>
          <w:rFonts w:hint="eastAsia" w:ascii="仿宋_GB2312" w:hAnsi="宋体" w:eastAsia="仿宋_GB2312"/>
          <w:color w:val="auto"/>
          <w:sz w:val="30"/>
          <w:szCs w:val="30"/>
        </w:rPr>
        <w:t>实施方</w:t>
      </w:r>
      <w:r>
        <w:rPr>
          <w:rFonts w:ascii="仿宋_GB2312" w:hAnsi="宋体" w:eastAsia="仿宋_GB2312"/>
          <w:color w:val="auto"/>
          <w:sz w:val="30"/>
          <w:szCs w:val="30"/>
        </w:rPr>
        <w:t>应执行最新版本。</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如对本规范书有偏差（无论多少）都必须清楚地表示在“差异表”中，否则采购方认为</w:t>
      </w:r>
      <w:r>
        <w:rPr>
          <w:rFonts w:hint="eastAsia" w:ascii="仿宋_GB2312" w:hAnsi="宋体" w:eastAsia="仿宋_GB2312"/>
          <w:color w:val="auto"/>
          <w:sz w:val="30"/>
          <w:szCs w:val="30"/>
        </w:rPr>
        <w:t>实施方</w:t>
      </w:r>
      <w:r>
        <w:rPr>
          <w:rFonts w:ascii="仿宋_GB2312" w:hAnsi="宋体" w:eastAsia="仿宋_GB2312"/>
          <w:color w:val="auto"/>
          <w:sz w:val="30"/>
          <w:szCs w:val="30"/>
        </w:rPr>
        <w:t>完全接受和同意本规范书的要求。</w:t>
      </w:r>
      <w:r>
        <w:rPr>
          <w:rFonts w:hint="eastAsia" w:ascii="仿宋_GB2312" w:hAnsi="宋体" w:eastAsia="仿宋_GB2312"/>
          <w:color w:val="auto"/>
          <w:sz w:val="30"/>
          <w:szCs w:val="30"/>
        </w:rPr>
        <w:t>实施方</w:t>
      </w:r>
      <w:r>
        <w:rPr>
          <w:rFonts w:ascii="仿宋_GB2312" w:hAnsi="宋体" w:eastAsia="仿宋_GB2312"/>
          <w:color w:val="auto"/>
          <w:sz w:val="30"/>
          <w:szCs w:val="30"/>
        </w:rPr>
        <w:t>如有优于本规范书基本要求的条款，也应在投标文件中特殊说明。</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2</w:t>
      </w:r>
      <w:r>
        <w:rPr>
          <w:rFonts w:ascii="黑体" w:hAnsi="黑体" w:eastAsia="黑体"/>
          <w:b/>
          <w:bCs/>
          <w:color w:val="auto"/>
          <w:sz w:val="32"/>
          <w:szCs w:val="32"/>
        </w:rPr>
        <w:t>.</w:t>
      </w:r>
      <w:r>
        <w:rPr>
          <w:rFonts w:hint="eastAsia" w:ascii="黑体" w:hAnsi="黑体" w:eastAsia="黑体"/>
          <w:b/>
          <w:bCs/>
          <w:color w:val="auto"/>
          <w:sz w:val="32"/>
          <w:szCs w:val="32"/>
        </w:rPr>
        <w:t>采购范围</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2.1</w:t>
      </w:r>
      <w:r>
        <w:rPr>
          <w:rFonts w:hint="eastAsia" w:ascii="楷体_GB2312" w:eastAsia="楷体_GB2312"/>
          <w:b/>
          <w:color w:val="auto"/>
          <w:sz w:val="30"/>
          <w:szCs w:val="30"/>
        </w:rPr>
        <w:t>采购范围</w:t>
      </w:r>
    </w:p>
    <w:p>
      <w:pPr>
        <w:ind w:firstLine="450" w:firstLineChars="150"/>
        <w:rPr>
          <w:rFonts w:ascii="仿宋_GB2312" w:hAnsi="宋体" w:eastAsia="仿宋_GB2312"/>
          <w:color w:val="auto"/>
          <w:sz w:val="30"/>
          <w:szCs w:val="30"/>
        </w:rPr>
      </w:pPr>
      <w:r>
        <w:rPr>
          <w:rFonts w:hint="eastAsia" w:ascii="仿宋_GB2312" w:hAnsi="宋体" w:eastAsia="仿宋_GB2312"/>
          <w:color w:val="auto"/>
          <w:sz w:val="30"/>
          <w:szCs w:val="30"/>
        </w:rPr>
        <w:t>本项目采购一套智能安全移动办公平台所需要的服务器和软件产品及安装部署实施服务，采购内容如下</w:t>
      </w:r>
      <w:r>
        <w:rPr>
          <w:rFonts w:ascii="仿宋_GB2312" w:hAnsi="宋体" w:eastAsia="仿宋_GB2312"/>
          <w:color w:val="auto"/>
          <w:sz w:val="30"/>
          <w:szCs w:val="30"/>
        </w:rPr>
        <w:t>：</w:t>
      </w:r>
    </w:p>
    <w:p>
      <w:pPr>
        <w:ind w:firstLine="450" w:firstLineChars="150"/>
        <w:rPr>
          <w:rFonts w:ascii="仿宋_GB2312" w:hAnsi="宋体" w:eastAsia="仿宋_GB2312"/>
          <w:color w:val="auto"/>
          <w:sz w:val="30"/>
          <w:szCs w:val="30"/>
        </w:rPr>
      </w:pPr>
    </w:p>
    <w:tbl>
      <w:tblPr>
        <w:tblStyle w:val="14"/>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2976"/>
        <w:gridCol w:w="99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1843"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采购项目</w:t>
            </w:r>
          </w:p>
        </w:tc>
        <w:tc>
          <w:tcPr>
            <w:tcW w:w="2976"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规格</w:t>
            </w:r>
          </w:p>
        </w:tc>
        <w:tc>
          <w:tcPr>
            <w:tcW w:w="993"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880"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PC沙箱软件</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1套</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零信任安全网关软件</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1套</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授权许可</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P</w:t>
            </w:r>
            <w:r>
              <w:rPr>
                <w:rFonts w:ascii="仿宋_GB2312" w:hAnsi="宋体" w:eastAsia="仿宋_GB2312"/>
                <w:color w:val="auto"/>
                <w:sz w:val="28"/>
                <w:szCs w:val="28"/>
              </w:rPr>
              <w:t>C</w:t>
            </w:r>
            <w:r>
              <w:rPr>
                <w:rFonts w:hint="eastAsia" w:ascii="仿宋_GB2312" w:hAnsi="宋体" w:eastAsia="仿宋_GB2312"/>
                <w:color w:val="auto"/>
                <w:sz w:val="28"/>
                <w:szCs w:val="28"/>
              </w:rPr>
              <w:t>沙箱及零信任安全网关软件授权许可</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3</w:t>
            </w:r>
            <w:r>
              <w:rPr>
                <w:rFonts w:ascii="仿宋_GB2312" w:hAnsi="宋体" w:eastAsia="仿宋_GB2312"/>
                <w:color w:val="auto"/>
                <w:sz w:val="28"/>
                <w:szCs w:val="28"/>
              </w:rPr>
              <w:t>00</w:t>
            </w:r>
            <w:r>
              <w:rPr>
                <w:rFonts w:hint="eastAsia" w:ascii="仿宋_GB2312" w:hAnsi="宋体" w:eastAsia="仿宋_GB2312"/>
                <w:color w:val="auto"/>
                <w:sz w:val="28"/>
                <w:szCs w:val="28"/>
              </w:rPr>
              <w:t>个</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4</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服务器</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台</w:t>
            </w:r>
          </w:p>
        </w:tc>
        <w:tc>
          <w:tcPr>
            <w:tcW w:w="1880" w:type="dxa"/>
            <w:vAlign w:val="center"/>
          </w:tcPr>
          <w:p>
            <w:pPr>
              <w:spacing w:line="400" w:lineRule="exact"/>
              <w:rPr>
                <w:rFonts w:ascii="仿宋_GB2312" w:hAnsi="宋体" w:eastAsia="仿宋_GB2312"/>
                <w:color w:val="auto"/>
                <w:sz w:val="28"/>
                <w:szCs w:val="28"/>
              </w:rPr>
            </w:pPr>
            <w:r>
              <w:rPr>
                <w:rFonts w:hint="eastAsia" w:ascii="仿宋_GB2312" w:hAnsi="宋体" w:eastAsia="仿宋_GB2312"/>
                <w:color w:val="auto"/>
                <w:sz w:val="28"/>
                <w:szCs w:val="28"/>
              </w:rPr>
              <w:t>用于部署PC沙箱管理平台和零信任安全网关</w:t>
            </w:r>
          </w:p>
        </w:tc>
      </w:tr>
    </w:tbl>
    <w:p>
      <w:pPr>
        <w:pStyle w:val="3"/>
        <w:keepNext w:val="0"/>
        <w:keepLines w:val="0"/>
        <w:widowControl w:val="0"/>
        <w:tabs>
          <w:tab w:val="left" w:pos="527"/>
        </w:tabs>
        <w:adjustRightInd w:val="0"/>
        <w:spacing w:before="163" w:beforeLines="50" w:after="163" w:afterLines="50" w:line="560" w:lineRule="exact"/>
        <w:contextualSpacing/>
        <w:jc w:val="both"/>
        <w:rPr>
          <w:rFonts w:ascii="楷体_GB2312" w:eastAsia="楷体_GB2312"/>
          <w:b/>
          <w:color w:val="auto"/>
          <w:sz w:val="30"/>
          <w:szCs w:val="30"/>
        </w:rPr>
      </w:pPr>
      <w:r>
        <w:rPr>
          <w:rFonts w:ascii="楷体_GB2312" w:eastAsia="楷体_GB2312"/>
          <w:b/>
          <w:color w:val="auto"/>
          <w:sz w:val="30"/>
          <w:szCs w:val="30"/>
        </w:rPr>
        <w:t>2.2</w:t>
      </w:r>
      <w:r>
        <w:rPr>
          <w:rFonts w:hint="eastAsia" w:ascii="楷体_GB2312" w:eastAsia="楷体_GB2312"/>
          <w:b/>
          <w:color w:val="auto"/>
          <w:sz w:val="30"/>
          <w:szCs w:val="30"/>
        </w:rPr>
        <w:t>向采购方提供的技术支持</w:t>
      </w:r>
    </w:p>
    <w:tbl>
      <w:tblPr>
        <w:tblStyle w:val="13"/>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944" w:type="dxa"/>
            <w:vAlign w:val="center"/>
          </w:tcPr>
          <w:p>
            <w:pPr>
              <w:spacing w:line="44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7556" w:type="dxa"/>
            <w:vAlign w:val="center"/>
          </w:tcPr>
          <w:p>
            <w:pPr>
              <w:spacing w:line="44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技术支持内容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技术咨询服务。项目实施前由项目总监组织与采购方交流同类的移动办公系统开展与实施经验，并给出咨询意见，优化出更适合采购方的项目实施方案。不定期与采购方开展技术交流，为后期的系统改进优化提供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提供现场安装、开发、测试、上线的全程跟踪服务；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验收合格后提供维保及功能完善；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4</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指定专门的富有经验的技术人员和业务专家提供售后服务，并随时保持联系；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5</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公司提供7X24小时技术支持服务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6</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对于产品和系统完善性需求，由经验丰富的技术人员和业务专家现场支持；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7</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系统框架模块内的功能及流程调整，软件故障排除，软件重装，软件的后门和漏洞进行补丁安装，以及相应的版本升级维护服务；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8</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系统上线后因系统本身不稳定需要进行升级改造的，免费及时进行解决；如因系统问题造成客户损失的，实施方承担全部责任；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9</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系统迁移时现场技术支持；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10</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提供服务器软件升级技术服务，根据新版本服务器软件的功能和稳定性，对是否采用新版本提出建议，并配合实施；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11</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服务报告的编制和递交。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12</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与采购方商讨符合的应急计划，编写《应急操作手册》,满足及时应对重大故障时的应急保障需求，确保IT服务连贯性，制定应急保障方案</w:t>
            </w:r>
          </w:p>
        </w:tc>
      </w:tr>
    </w:tbl>
    <w:p>
      <w:pPr>
        <w:spacing w:line="480" w:lineRule="exact"/>
        <w:rPr>
          <w:rFonts w:ascii="仿宋_GB2312" w:hAnsi="宋体" w:eastAsia="仿宋_GB2312"/>
          <w:color w:val="auto"/>
          <w:sz w:val="28"/>
          <w:szCs w:val="28"/>
        </w:rPr>
      </w:pPr>
    </w:p>
    <w:p>
      <w:pPr>
        <w:adjustRightInd/>
        <w:spacing w:before="97" w:beforeLines="30" w:after="97" w:afterLines="30" w:line="360" w:lineRule="auto"/>
        <w:textAlignment w:val="auto"/>
        <w:outlineLvl w:val="0"/>
        <w:rPr>
          <w:rFonts w:ascii="楷体_GB2312" w:eastAsia="楷体_GB2312"/>
          <w:b/>
          <w:color w:val="auto"/>
          <w:sz w:val="30"/>
          <w:szCs w:val="30"/>
        </w:rPr>
      </w:pPr>
      <w:r>
        <w:rPr>
          <w:rFonts w:hint="eastAsia" w:ascii="黑体" w:hAnsi="黑体" w:eastAsia="黑体"/>
          <w:b/>
          <w:bCs/>
          <w:color w:val="auto"/>
          <w:sz w:val="32"/>
          <w:szCs w:val="32"/>
        </w:rPr>
        <w:t>3</w:t>
      </w:r>
      <w:r>
        <w:rPr>
          <w:rFonts w:ascii="黑体" w:hAnsi="黑体" w:eastAsia="黑体"/>
          <w:b/>
          <w:bCs/>
          <w:color w:val="auto"/>
          <w:sz w:val="32"/>
          <w:szCs w:val="32"/>
        </w:rPr>
        <w:t>.</w:t>
      </w:r>
      <w:r>
        <w:rPr>
          <w:rFonts w:hint="eastAsia" w:ascii="黑体" w:hAnsi="黑体" w:eastAsia="黑体"/>
          <w:b/>
          <w:bCs/>
          <w:color w:val="auto"/>
          <w:sz w:val="32"/>
          <w:szCs w:val="32"/>
        </w:rPr>
        <w:t>标准/规范</w:t>
      </w:r>
    </w:p>
    <w:p>
      <w:pPr>
        <w:widowControl/>
        <w:ind w:firstLine="600" w:firstLineChars="200"/>
        <w:rPr>
          <w:rFonts w:ascii="仿宋_GB2312" w:hAnsi="宋体" w:eastAsia="仿宋_GB2312"/>
          <w:color w:val="auto"/>
          <w:sz w:val="30"/>
          <w:szCs w:val="30"/>
        </w:rPr>
      </w:pPr>
      <w:bookmarkStart w:id="7" w:name="_Hlk82338978"/>
      <w:r>
        <w:rPr>
          <w:rFonts w:hint="eastAsia" w:ascii="仿宋_GB2312" w:hAnsi="宋体" w:eastAsia="仿宋_GB2312"/>
          <w:color w:val="auto"/>
          <w:sz w:val="30"/>
          <w:szCs w:val="30"/>
        </w:rPr>
        <w:t>本项目采购和实施过程中，需满足国家及华能集团公司信息化建设管理相关规定。国家相关法规和技术标准包括但不限于：</w:t>
      </w:r>
    </w:p>
    <w:bookmarkEnd w:id="7"/>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35282-2017 </w:t>
      </w:r>
      <w:r>
        <w:rPr>
          <w:rFonts w:hint="eastAsia" w:ascii="仿宋_GB2312" w:hAnsi="宋体" w:eastAsia="仿宋_GB2312"/>
          <w:color w:val="auto"/>
          <w:sz w:val="30"/>
          <w:szCs w:val="30"/>
        </w:rPr>
        <w:t>《</w:t>
      </w:r>
      <w:r>
        <w:rPr>
          <w:rFonts w:ascii="仿宋_GB2312" w:hAnsi="宋体" w:eastAsia="仿宋_GB2312"/>
          <w:color w:val="auto"/>
          <w:sz w:val="30"/>
          <w:szCs w:val="30"/>
        </w:rPr>
        <w:t>电子政务移动办公系统安全技术规范</w:t>
      </w:r>
      <w:r>
        <w:rPr>
          <w:rFonts w:hint="eastAsia" w:ascii="仿宋_GB2312" w:hAnsi="宋体" w:eastAsia="仿宋_GB2312"/>
          <w:color w:val="auto"/>
          <w:sz w:val="30"/>
          <w:szCs w:val="30"/>
        </w:rPr>
        <w:t xml:space="preserve">》 </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28448-2019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网络安全等级保护测评要求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25070-2019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网络安全等级保护安全设计技术要求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22239-2019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网络安全等级保护基本要求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w:t>
      </w:r>
      <w:r>
        <w:rPr>
          <w:rFonts w:ascii="仿宋_GB2312" w:hAnsi="宋体" w:eastAsia="仿宋_GB2312"/>
          <w:color w:val="auto"/>
          <w:sz w:val="30"/>
          <w:szCs w:val="30"/>
        </w:rPr>
        <w:t>B</w:t>
      </w:r>
      <w:r>
        <w:rPr>
          <w:rFonts w:hint="eastAsia" w:ascii="仿宋_GB2312" w:hAnsi="宋体" w:eastAsia="仿宋_GB2312"/>
          <w:color w:val="auto"/>
          <w:sz w:val="30"/>
          <w:szCs w:val="30"/>
        </w:rPr>
        <w:t>-</w:t>
      </w:r>
      <w:r>
        <w:rPr>
          <w:rFonts w:ascii="仿宋_GB2312" w:hAnsi="宋体" w:eastAsia="仿宋_GB2312"/>
          <w:color w:val="auto"/>
          <w:sz w:val="30"/>
          <w:szCs w:val="30"/>
        </w:rPr>
        <w:t>9385</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2008    </w:t>
      </w:r>
      <w:r>
        <w:rPr>
          <w:rFonts w:hint="eastAsia" w:ascii="仿宋_GB2312" w:hAnsi="宋体" w:eastAsia="仿宋_GB2312"/>
          <w:color w:val="auto"/>
          <w:sz w:val="30"/>
          <w:szCs w:val="30"/>
        </w:rPr>
        <w:t>《计算机软件需求规格说明规范》</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GB/T12504</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《计算机软件质量保证计划规范》</w:t>
      </w:r>
      <w:r>
        <w:rPr>
          <w:rFonts w:ascii="仿宋_GB2312" w:hAnsi="宋体" w:eastAsia="仿宋_GB2312"/>
          <w:color w:val="auto"/>
          <w:sz w:val="30"/>
          <w:szCs w:val="30"/>
        </w:rPr>
        <w:t xml:space="preserve"> </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GB8567-88</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《计算机软件产品开发文件编制指南》</w:t>
      </w:r>
      <w:r>
        <w:rPr>
          <w:rFonts w:ascii="仿宋_GB2312" w:hAnsi="宋体" w:eastAsia="仿宋_GB2312"/>
          <w:color w:val="auto"/>
          <w:sz w:val="30"/>
          <w:szCs w:val="30"/>
        </w:rPr>
        <w:t xml:space="preserve"> </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4</w:t>
      </w:r>
      <w:r>
        <w:rPr>
          <w:rFonts w:ascii="黑体" w:hAnsi="黑体" w:eastAsia="黑体"/>
          <w:b/>
          <w:bCs/>
          <w:color w:val="auto"/>
          <w:sz w:val="32"/>
          <w:szCs w:val="32"/>
        </w:rPr>
        <w:t>.</w:t>
      </w:r>
      <w:r>
        <w:rPr>
          <w:rFonts w:hint="eastAsia" w:ascii="黑体" w:hAnsi="黑体" w:eastAsia="黑体"/>
          <w:b/>
          <w:bCs/>
          <w:color w:val="auto"/>
          <w:sz w:val="32"/>
          <w:szCs w:val="32"/>
        </w:rPr>
        <w:t>资质要求</w:t>
      </w:r>
    </w:p>
    <w:p>
      <w:pPr>
        <w:widowControl/>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实施方应具有以下资质：</w:t>
      </w:r>
    </w:p>
    <w:p>
      <w:pPr>
        <w:widowControl/>
        <w:ind w:firstLine="600" w:firstLineChars="200"/>
        <w:rPr>
          <w:rFonts w:ascii="仿宋_GB2312" w:hAnsi="宋体" w:eastAsia="仿宋_GB2312"/>
          <w:color w:val="auto"/>
          <w:sz w:val="30"/>
          <w:szCs w:val="30"/>
        </w:rPr>
      </w:pPr>
      <w:r>
        <w:rPr>
          <w:rFonts w:ascii="仿宋_GB2312" w:hAnsi="宋体" w:eastAsia="仿宋_GB2312"/>
          <w:color w:val="auto"/>
          <w:sz w:val="30"/>
          <w:szCs w:val="30"/>
        </w:rPr>
        <w:t>1)具有ISO9000 系列质量保证体系认证证书。</w:t>
      </w:r>
      <w:r>
        <w:rPr>
          <w:rFonts w:hint="eastAsia" w:ascii="仿宋_GB2312" w:hAnsi="宋体" w:eastAsia="仿宋_GB2312"/>
          <w:color w:val="auto"/>
          <w:sz w:val="30"/>
          <w:szCs w:val="30"/>
        </w:rPr>
        <w:t xml:space="preserve"> </w:t>
      </w:r>
    </w:p>
    <w:p>
      <w:pPr>
        <w:widowControl/>
        <w:ind w:firstLine="600" w:firstLineChars="200"/>
        <w:rPr>
          <w:rFonts w:ascii="仿宋_GB2312" w:hAnsi="宋体" w:eastAsia="仿宋_GB2312"/>
          <w:color w:val="auto"/>
          <w:sz w:val="30"/>
          <w:szCs w:val="30"/>
        </w:rPr>
      </w:pPr>
      <w:r>
        <w:rPr>
          <w:rFonts w:ascii="仿宋_GB2312" w:hAnsi="宋体" w:eastAsia="仿宋_GB2312"/>
          <w:color w:val="auto"/>
          <w:sz w:val="30"/>
          <w:szCs w:val="30"/>
        </w:rPr>
        <w:t>2)近</w:t>
      </w:r>
      <w:r>
        <w:rPr>
          <w:rFonts w:hint="eastAsia" w:ascii="仿宋_GB2312" w:hAnsi="宋体" w:eastAsia="仿宋_GB2312"/>
          <w:color w:val="auto"/>
          <w:sz w:val="30"/>
          <w:szCs w:val="30"/>
        </w:rPr>
        <w:t>五</w:t>
      </w:r>
      <w:r>
        <w:rPr>
          <w:rFonts w:ascii="仿宋_GB2312" w:hAnsi="宋体" w:eastAsia="仿宋_GB2312"/>
          <w:color w:val="auto"/>
          <w:sz w:val="30"/>
          <w:szCs w:val="30"/>
        </w:rPr>
        <w:t>年内具有</w:t>
      </w:r>
      <w:r>
        <w:rPr>
          <w:rFonts w:hint="eastAsia" w:ascii="仿宋_GB2312" w:hAnsi="宋体" w:eastAsia="仿宋_GB2312"/>
          <w:color w:val="auto"/>
          <w:sz w:val="30"/>
          <w:szCs w:val="30"/>
        </w:rPr>
        <w:t>安全移动办公</w:t>
      </w:r>
      <w:r>
        <w:rPr>
          <w:rFonts w:ascii="仿宋_GB2312" w:hAnsi="宋体" w:eastAsia="仿宋_GB2312"/>
          <w:color w:val="auto"/>
          <w:sz w:val="30"/>
          <w:szCs w:val="30"/>
        </w:rPr>
        <w:t>类</w:t>
      </w:r>
      <w:r>
        <w:rPr>
          <w:rFonts w:hint="eastAsia" w:ascii="仿宋_GB2312" w:hAnsi="宋体" w:eastAsia="仿宋_GB2312"/>
          <w:color w:val="auto"/>
          <w:sz w:val="30"/>
          <w:szCs w:val="30"/>
        </w:rPr>
        <w:t>业绩或电力行业网络安全</w:t>
      </w:r>
      <w:r>
        <w:rPr>
          <w:rFonts w:ascii="仿宋_GB2312" w:hAnsi="宋体" w:eastAsia="仿宋_GB2312"/>
          <w:color w:val="auto"/>
          <w:sz w:val="30"/>
          <w:szCs w:val="30"/>
        </w:rPr>
        <w:t>项目</w:t>
      </w:r>
      <w:r>
        <w:rPr>
          <w:rFonts w:hint="eastAsia" w:ascii="仿宋_GB2312" w:hAnsi="宋体" w:eastAsia="仿宋_GB2312"/>
          <w:color w:val="auto"/>
          <w:sz w:val="30"/>
          <w:szCs w:val="30"/>
        </w:rPr>
        <w:t>业绩</w:t>
      </w:r>
      <w:r>
        <w:rPr>
          <w:rFonts w:ascii="仿宋_GB2312" w:hAnsi="宋体" w:eastAsia="仿宋_GB2312"/>
          <w:color w:val="auto"/>
          <w:sz w:val="30"/>
          <w:szCs w:val="30"/>
        </w:rPr>
        <w:t>，并提供相应的证明（</w:t>
      </w:r>
      <w:r>
        <w:rPr>
          <w:rFonts w:hint="eastAsia" w:ascii="仿宋_GB2312" w:hAnsi="宋体" w:eastAsia="仿宋_GB2312"/>
          <w:color w:val="auto"/>
          <w:sz w:val="30"/>
          <w:szCs w:val="30"/>
        </w:rPr>
        <w:t>截止投标时间，</w:t>
      </w:r>
      <w:r>
        <w:rPr>
          <w:rFonts w:ascii="仿宋_GB2312" w:hAnsi="宋体" w:eastAsia="仿宋_GB2312"/>
          <w:color w:val="auto"/>
          <w:sz w:val="30"/>
          <w:szCs w:val="30"/>
        </w:rPr>
        <w:t>以合同签订日期为准，须至少提供合同封面、签字盖章页及合同内容页的复印件）</w:t>
      </w:r>
      <w:r>
        <w:rPr>
          <w:rFonts w:hint="eastAsia" w:ascii="仿宋_GB2312" w:hAnsi="宋体" w:eastAsia="仿宋_GB2312"/>
          <w:color w:val="auto"/>
          <w:sz w:val="30"/>
          <w:szCs w:val="30"/>
        </w:rPr>
        <w:t>。</w:t>
      </w:r>
    </w:p>
    <w:p>
      <w:pPr>
        <w:widowControl/>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3）提供PC沙箱+零信任安全网关产品厂商</w:t>
      </w:r>
      <w:bookmarkStart w:id="8" w:name="_GoBack"/>
      <w:bookmarkEnd w:id="8"/>
      <w:r>
        <w:rPr>
          <w:rFonts w:ascii="仿宋_GB2312" w:hAnsi="宋体" w:eastAsia="仿宋_GB2312"/>
          <w:color w:val="auto"/>
          <w:sz w:val="30"/>
          <w:szCs w:val="30"/>
        </w:rPr>
        <w:t>授权书</w:t>
      </w:r>
      <w:r>
        <w:rPr>
          <w:rFonts w:hint="eastAsia" w:ascii="仿宋_GB2312" w:hAnsi="宋体" w:eastAsia="仿宋_GB2312"/>
          <w:color w:val="auto"/>
          <w:sz w:val="30"/>
          <w:szCs w:val="30"/>
        </w:rPr>
        <w:t>和</w:t>
      </w:r>
      <w:r>
        <w:rPr>
          <w:rFonts w:ascii="仿宋_GB2312" w:hAnsi="宋体" w:eastAsia="仿宋_GB2312"/>
          <w:color w:val="auto"/>
          <w:sz w:val="30"/>
          <w:szCs w:val="30"/>
        </w:rPr>
        <w:t>售后服务承诺</w:t>
      </w:r>
      <w:r>
        <w:rPr>
          <w:rFonts w:hint="eastAsia" w:ascii="仿宋_GB2312" w:hAnsi="宋体" w:eastAsia="仿宋_GB2312"/>
          <w:color w:val="auto"/>
          <w:sz w:val="30"/>
          <w:szCs w:val="30"/>
        </w:rPr>
        <w:t>函。</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5.</w:t>
      </w:r>
      <w:r>
        <w:rPr>
          <w:rFonts w:hint="eastAsia" w:ascii="黑体" w:hAnsi="黑体" w:eastAsia="黑体"/>
          <w:b/>
          <w:bCs/>
          <w:color w:val="auto"/>
          <w:sz w:val="32"/>
          <w:szCs w:val="32"/>
        </w:rPr>
        <w:t>技术要求</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5.1</w:t>
      </w:r>
      <w:r>
        <w:rPr>
          <w:rFonts w:hint="eastAsia" w:ascii="楷体_GB2312" w:eastAsia="楷体_GB2312"/>
          <w:b/>
          <w:color w:val="auto"/>
          <w:sz w:val="30"/>
          <w:szCs w:val="30"/>
        </w:rPr>
        <w:t>总体要求</w:t>
      </w:r>
    </w:p>
    <w:tbl>
      <w:tblPr>
        <w:tblStyle w:val="13"/>
        <w:tblW w:w="8505" w:type="dxa"/>
        <w:tblInd w:w="-15" w:type="dxa"/>
        <w:tblLayout w:type="fixed"/>
        <w:tblCellMar>
          <w:top w:w="15" w:type="dxa"/>
          <w:left w:w="15" w:type="dxa"/>
          <w:bottom w:w="15" w:type="dxa"/>
          <w:right w:w="15" w:type="dxa"/>
        </w:tblCellMar>
      </w:tblPr>
      <w:tblGrid>
        <w:gridCol w:w="709"/>
        <w:gridCol w:w="1276"/>
        <w:gridCol w:w="6520"/>
      </w:tblGrid>
      <w:tr>
        <w:tblPrEx>
          <w:tblLayout w:type="fixed"/>
          <w:tblCellMar>
            <w:top w:w="15" w:type="dxa"/>
            <w:left w:w="15" w:type="dxa"/>
            <w:bottom w:w="15" w:type="dxa"/>
            <w:right w:w="15" w:type="dxa"/>
          </w:tblCellMar>
        </w:tblPrEx>
        <w:trPr>
          <w:trHeight w:val="336"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总体要求</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PC沙箱</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实现对PC应用的DLP保护，提供数据隔离、数据加密、应用控制、网络拦截、水印技术、截屏监控、打印控制等安全能力，支持应用安全策略、访问安全策略、数据隔离加密等防护。</w:t>
            </w:r>
            <w:r>
              <w:rPr>
                <w:rFonts w:hint="eastAsia" w:ascii="仿宋_GB2312" w:hAnsi="宋体" w:eastAsia="仿宋_GB2312"/>
                <w:color w:val="auto"/>
                <w:sz w:val="28"/>
                <w:szCs w:val="28"/>
              </w:rPr>
              <w:br w:type="textWrapping"/>
            </w:r>
            <w:r>
              <w:rPr>
                <w:rFonts w:hint="eastAsia" w:ascii="仿宋_GB2312" w:hAnsi="宋体" w:eastAsia="仿宋_GB2312"/>
                <w:color w:val="auto"/>
                <w:sz w:val="28"/>
                <w:szCs w:val="28"/>
              </w:rPr>
              <w:t>质保期：一年质保。</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零信任安全网关</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支持实现零信任安全接入、隧道加密、访问管理、安全管理等零信任网关能力。</w:t>
            </w:r>
            <w:r>
              <w:rPr>
                <w:rFonts w:hint="eastAsia" w:ascii="仿宋_GB2312" w:hAnsi="宋体" w:eastAsia="仿宋_GB2312"/>
                <w:color w:val="auto"/>
                <w:sz w:val="28"/>
                <w:szCs w:val="28"/>
              </w:rPr>
              <w:br w:type="textWrapping"/>
            </w:r>
            <w:r>
              <w:rPr>
                <w:rFonts w:hint="eastAsia" w:ascii="仿宋_GB2312" w:hAnsi="宋体" w:eastAsia="仿宋_GB2312"/>
                <w:color w:val="auto"/>
                <w:sz w:val="28"/>
                <w:szCs w:val="28"/>
              </w:rPr>
              <w:t>质保期：一年质保。</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服务器</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满足部署PC沙箱管理平台和零信任安全网关相关技术要求。</w:t>
            </w:r>
          </w:p>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质保期：</w:t>
            </w:r>
            <w:r>
              <w:rPr>
                <w:rFonts w:ascii="仿宋_GB2312" w:hAnsi="宋体" w:eastAsia="仿宋_GB2312"/>
                <w:color w:val="auto"/>
                <w:sz w:val="28"/>
                <w:szCs w:val="28"/>
              </w:rPr>
              <w:t>三年质保</w:t>
            </w:r>
          </w:p>
        </w:tc>
      </w:tr>
    </w:tbl>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 xml:space="preserve">5.2 </w:t>
      </w:r>
      <w:r>
        <w:rPr>
          <w:rFonts w:hint="eastAsia" w:ascii="楷体_GB2312" w:eastAsia="楷体_GB2312"/>
          <w:b/>
          <w:color w:val="auto"/>
          <w:sz w:val="30"/>
          <w:szCs w:val="30"/>
        </w:rPr>
        <w:t>P</w:t>
      </w:r>
      <w:r>
        <w:rPr>
          <w:rFonts w:ascii="楷体_GB2312" w:eastAsia="楷体_GB2312"/>
          <w:b/>
          <w:color w:val="auto"/>
          <w:sz w:val="30"/>
          <w:szCs w:val="30"/>
        </w:rPr>
        <w:t>C</w:t>
      </w:r>
      <w:r>
        <w:rPr>
          <w:rFonts w:hint="eastAsia" w:ascii="楷体_GB2312" w:eastAsia="楷体_GB2312"/>
          <w:b/>
          <w:color w:val="auto"/>
          <w:sz w:val="30"/>
          <w:szCs w:val="30"/>
        </w:rPr>
        <w:t>沙箱技术要求</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Windows操作系统兼容：支持Win7 x64和Win10 x64操作系统。</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办公应用兼容支持:PC沙箱集成零信任接入能力，兼容支持B/S应用。在不对现有业务系统做任何业务逻辑、网络架构、访问配置更改的前提下，可通过新采购的PC沙箱，在原有内/外网防火墙、内外网隔离网闸等安全设备的协同配合下，无缝实现仅允许应用于互联网和华能外网网络环境中的现有业务系统通过PC沙箱保障安全运行、并在受保护的情况下受控访问位于华能内网的系统服务端，严格禁止现有业务系统在PC沙箱外的非安全环境中进行使用。</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★安全沙箱隔离:在终端本地操作系统建立独立工作域，与本地文件系统隔离。</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应用控制策略配置:针对每个工作域可运行应用支持白名单配置管理，白名单之外的应用禁止在工作域内运行。</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终端工作域应用导入:终端本地操作系统已安装应用，可通过拖拽方式导入工作域，不需要二次安装。</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终端环境检测:对终端操作系统环境进行策略检查，不符合策略要求的环境，限制登录使用工作域。</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工作域数据防泄漏:支持全屏或沙箱应用水印，水印内容格式支持自定义。</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工作域操作限制：工作域可限制用户进行截屏/录屏操作；策略允许用户进行截屏/录屏操作时,能够进行操作审计；可支持配置策略，禁止向同级/更低级别域通过剪切板交换数据；工作域对工作域内的文件提供透明加解密，对用户无感知；工作域可以禁止用户打印操作；如果允许打印操作，打印内容显示水印。</w:t>
      </w:r>
    </w:p>
    <w:p>
      <w:pPr>
        <w:pStyle w:val="23"/>
        <w:numPr>
          <w:ilvl w:val="0"/>
          <w:numId w:val="2"/>
        </w:numPr>
        <w:rPr>
          <w:rFonts w:ascii="仿宋_GB2312" w:hAnsi="宋体" w:eastAsia="仿宋_GB2312"/>
          <w:color w:val="auto"/>
          <w:sz w:val="30"/>
          <w:szCs w:val="30"/>
        </w:rPr>
      </w:pPr>
      <w:r>
        <w:rPr>
          <w:rFonts w:hint="eastAsia" w:ascii="仿宋_GB2312" w:hAnsi="宋体" w:eastAsia="仿宋_GB2312"/>
          <w:color w:val="auto"/>
          <w:sz w:val="30"/>
          <w:szCs w:val="30"/>
        </w:rPr>
        <w:t>域间文件交换策略:支持多级工作域的定义和使用，缺省仅支持从低级别域到高级别域的文件单向流入策略。</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5.3</w:t>
      </w:r>
      <w:r>
        <w:rPr>
          <w:rFonts w:hint="eastAsia" w:ascii="楷体_GB2312" w:eastAsia="楷体_GB2312"/>
          <w:b/>
          <w:color w:val="auto"/>
          <w:sz w:val="30"/>
          <w:szCs w:val="30"/>
        </w:rPr>
        <w:t>零信任安全网关技术要求</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业务服务端端口隐藏：现有业务系统和新增零信任网关均无需对外暴露任何TCP端口（不需在现有华能外网互联网防火墙或VPN网关增加映射TCP端口到互联网）。使用UDP单包授权(SPA)技术，仅允许认证后的用户才能通过SDP零信任网关正常访问业务，从而减少互联网暴露面，降低恶意攻击和入侵风险。在现有华能外网互联网防火墙上映射SDP网关端口时，仅需对外映射风险性低的UDP端口，而无需对外映射TCP端口。</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客户端形态：支持以下三种形态：（1）支持单客户端形态，可支持以SDP客户端独立运行的形态使用；（2）可定制化开发支持与PC沙箱融合，依附于PC沙箱、移动端沙箱运行，在端侧仅需进行一次登录操作；（3）SDK形态，支持以SDK形态与门户系统进行集成使用。</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★操作系统兼容（单SDP客户端形态）：当以单独的客户端存在时，支持鸿蒙、Android 7.0-11.x、iOS 11.0-14.x、Windows 7 32/64bit、Windows 10 32/64bit、MacOS 10.12以上等终端的接入。</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连续认证失败锁定：连续认证失败超过指定次数后，在指定时间内不允许再次登录。</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设备健康度检测：移动设备支持检测是否root/越狱、是否开启锁屏密码、是否开启指纹/面容解锁、是否运行在模拟器中、是否开启全盘加密、是否打开调试模式等。</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接入设备数量限制：支持针对移动端和PC端分别设置同时允许登录的设备数量。</w:t>
      </w:r>
    </w:p>
    <w:p>
      <w:pPr>
        <w:pStyle w:val="23"/>
        <w:numPr>
          <w:ilvl w:val="0"/>
          <w:numId w:val="3"/>
        </w:numPr>
        <w:rPr>
          <w:rFonts w:ascii="仿宋_GB2312" w:hAnsi="宋体" w:eastAsia="仿宋_GB2312"/>
          <w:color w:val="auto"/>
          <w:sz w:val="30"/>
          <w:szCs w:val="30"/>
        </w:rPr>
      </w:pPr>
      <w:r>
        <w:rPr>
          <w:rFonts w:hint="eastAsia" w:ascii="仿宋_GB2312" w:hAnsi="宋体" w:eastAsia="仿宋_GB2312"/>
          <w:color w:val="auto"/>
          <w:sz w:val="30"/>
          <w:szCs w:val="30"/>
        </w:rPr>
        <w:t>隧道协议：网关传输通道使用UDP协议，网关UDP端口对没有通过认证的用户不可见。</w:t>
      </w:r>
    </w:p>
    <w:p>
      <w:pPr>
        <w:pStyle w:val="23"/>
        <w:numPr>
          <w:ilvl w:val="0"/>
          <w:numId w:val="3"/>
        </w:numPr>
        <w:ind w:left="1021"/>
        <w:rPr>
          <w:rFonts w:ascii="仿宋_GB2312" w:hAnsi="宋体" w:eastAsia="仿宋_GB2312"/>
          <w:color w:val="auto"/>
          <w:sz w:val="30"/>
          <w:szCs w:val="30"/>
        </w:rPr>
      </w:pPr>
      <w:r>
        <w:rPr>
          <w:rFonts w:hint="eastAsia" w:ascii="仿宋_GB2312" w:hAnsi="宋体" w:eastAsia="仿宋_GB2312"/>
          <w:color w:val="auto"/>
          <w:sz w:val="30"/>
          <w:szCs w:val="30"/>
        </w:rPr>
        <w:t>最小化授权管理：可根据用户状态、时间、位置、网络、设备类型、IP地址等信息综合评估定义访问权限，根据评估结果可基于虚拟组、组织架构、用户做最小化授权。</w:t>
      </w:r>
    </w:p>
    <w:p>
      <w:pPr>
        <w:pStyle w:val="23"/>
        <w:ind w:left="1021"/>
        <w:rPr>
          <w:rFonts w:ascii="仿宋_GB2312" w:hAnsi="宋体" w:eastAsia="仿宋_GB2312"/>
          <w:color w:val="auto"/>
          <w:sz w:val="30"/>
          <w:szCs w:val="30"/>
        </w:rPr>
      </w:pP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5.4</w:t>
      </w:r>
      <w:r>
        <w:rPr>
          <w:rFonts w:hint="eastAsia" w:ascii="楷体_GB2312" w:eastAsia="楷体_GB2312"/>
          <w:b/>
          <w:color w:val="auto"/>
          <w:sz w:val="30"/>
          <w:szCs w:val="30"/>
        </w:rPr>
        <w:t>服务器技术要求</w:t>
      </w:r>
    </w:p>
    <w:p>
      <w:pPr>
        <w:rPr>
          <w:color w:val="auto"/>
        </w:rPr>
      </w:pPr>
    </w:p>
    <w:tbl>
      <w:tblPr>
        <w:tblStyle w:val="13"/>
        <w:tblW w:w="856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84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序</w:t>
            </w:r>
            <w:r>
              <w:rPr>
                <w:rFonts w:hint="eastAsia" w:ascii="仿宋_GB2312" w:hAnsi="宋体" w:eastAsia="仿宋_GB2312"/>
                <w:b/>
                <w:bCs/>
                <w:color w:val="auto"/>
                <w:sz w:val="28"/>
                <w:szCs w:val="28"/>
              </w:rPr>
              <w:t>号</w:t>
            </w:r>
            <w:r>
              <w:rPr>
                <w:rFonts w:ascii="仿宋_GB2312" w:hAnsi="宋体" w:eastAsia="仿宋_GB2312"/>
                <w:b/>
                <w:bCs/>
                <w:color w:val="auto"/>
                <w:sz w:val="28"/>
                <w:szCs w:val="28"/>
              </w:rPr>
              <w:t xml:space="preserve"> </w:t>
            </w:r>
          </w:p>
        </w:tc>
        <w:tc>
          <w:tcPr>
            <w:tcW w:w="1849"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指</w:t>
            </w:r>
            <w:r>
              <w:rPr>
                <w:rFonts w:hint="eastAsia" w:ascii="仿宋_GB2312" w:hAnsi="宋体" w:eastAsia="仿宋_GB2312"/>
                <w:b/>
                <w:bCs/>
                <w:color w:val="auto"/>
                <w:sz w:val="28"/>
                <w:szCs w:val="28"/>
              </w:rPr>
              <w:t xml:space="preserve"> </w:t>
            </w:r>
            <w:r>
              <w:rPr>
                <w:rFonts w:ascii="仿宋_GB2312" w:hAnsi="宋体" w:eastAsia="仿宋_GB2312"/>
                <w:b/>
                <w:bCs/>
                <w:color w:val="auto"/>
                <w:sz w:val="28"/>
                <w:szCs w:val="28"/>
              </w:rPr>
              <w:t xml:space="preserve">标 </w:t>
            </w:r>
          </w:p>
        </w:tc>
        <w:tc>
          <w:tcPr>
            <w:tcW w:w="6012"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1</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★外观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2U机架式机箱，含上架导轨</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9" w:hRule="atLeast"/>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2</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★处理器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配置2颗英特尔至强银牌4210 (10核2.2GHz /13.75MB/85W)处理器</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3</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★内存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2条16GB DDR4 ECC 内存；标配24个内存插槽</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4</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★硬盘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4块2.4TB 10K SAS硬盘；配置SR430C-M 1GB缓存（支持RAID 0/1/5/6/10/50/60）</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widowControl/>
              <w:spacing w:line="360" w:lineRule="auto"/>
              <w:jc w:val="center"/>
              <w:rPr>
                <w:rFonts w:ascii="仿宋_GB2312" w:hAnsi="宋体" w:eastAsia="仿宋_GB2312"/>
                <w:color w:val="auto"/>
                <w:sz w:val="30"/>
                <w:szCs w:val="30"/>
              </w:rPr>
            </w:pPr>
            <w:r>
              <w:rPr>
                <w:rFonts w:ascii="仿宋_GB2312" w:hAnsi="宋体" w:eastAsia="仿宋_GB2312"/>
                <w:color w:val="auto"/>
                <w:sz w:val="30"/>
                <w:szCs w:val="30"/>
              </w:rPr>
              <w:t>5</w:t>
            </w:r>
          </w:p>
        </w:tc>
        <w:tc>
          <w:tcPr>
            <w:tcW w:w="1849" w:type="dxa"/>
            <w:vAlign w:val="center"/>
          </w:tcPr>
          <w:p>
            <w:pPr>
              <w:widowControl/>
              <w:spacing w:line="360" w:lineRule="auto"/>
              <w:jc w:val="center"/>
              <w:rPr>
                <w:rFonts w:ascii="仿宋_GB2312" w:hAnsi="宋体" w:eastAsia="仿宋_GB2312"/>
                <w:color w:val="auto"/>
                <w:sz w:val="30"/>
                <w:szCs w:val="30"/>
              </w:rPr>
            </w:pPr>
            <w:r>
              <w:rPr>
                <w:rFonts w:ascii="仿宋_GB2312" w:hAnsi="宋体" w:eastAsia="仿宋_GB2312"/>
                <w:color w:val="auto"/>
                <w:sz w:val="30"/>
                <w:szCs w:val="30"/>
              </w:rPr>
              <w:t xml:space="preserve">★网卡控制器 </w:t>
            </w:r>
          </w:p>
        </w:tc>
        <w:tc>
          <w:tcPr>
            <w:tcW w:w="6012" w:type="dxa"/>
            <w:vAlign w:val="center"/>
          </w:tcPr>
          <w:p>
            <w:pPr>
              <w:widowControl/>
              <w:spacing w:line="360" w:lineRule="auto"/>
              <w:jc w:val="left"/>
              <w:rPr>
                <w:rFonts w:ascii="仿宋_GB2312" w:hAnsi="宋体" w:eastAsia="仿宋_GB2312"/>
                <w:color w:val="auto"/>
                <w:sz w:val="30"/>
                <w:szCs w:val="30"/>
              </w:rPr>
            </w:pPr>
            <w:r>
              <w:rPr>
                <w:rFonts w:hint="eastAsia" w:ascii="仿宋_GB2312" w:hAnsi="宋体" w:eastAsia="仿宋_GB2312"/>
                <w:color w:val="auto"/>
                <w:sz w:val="30"/>
                <w:szCs w:val="30"/>
              </w:rPr>
              <w:t>板载</w:t>
            </w:r>
            <w:r>
              <w:rPr>
                <w:rFonts w:ascii="仿宋_GB2312" w:hAnsi="宋体" w:eastAsia="仿宋_GB2312"/>
                <w:color w:val="auto"/>
                <w:sz w:val="30"/>
                <w:szCs w:val="30"/>
              </w:rPr>
              <w:t>2*GE+2*10GE（不含光模块)</w:t>
            </w:r>
            <w:r>
              <w:rPr>
                <w:rFonts w:hint="eastAsia" w:ascii="仿宋_GB2312" w:hAnsi="宋体" w:eastAsia="仿宋_GB2312"/>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6</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显卡控制器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7</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光驱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8</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★电源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2个900W交流电源（1+1冗余）</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9</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★管理功能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4个冗余热插拔风扇，4个USB 3.0接口</w:t>
            </w:r>
            <w:r>
              <w:rPr>
                <w:rFonts w:hint="eastAsia" w:ascii="仿宋_GB2312" w:hAnsi="宋体" w:eastAsia="仿宋_GB2312"/>
                <w:color w:val="auto"/>
                <w:sz w:val="28"/>
                <w:szCs w:val="28"/>
              </w:rPr>
              <w:t>，</w:t>
            </w:r>
            <w:r>
              <w:rPr>
                <w:rFonts w:ascii="仿宋_GB2312" w:hAnsi="宋体" w:eastAsia="仿宋_GB2312"/>
                <w:color w:val="auto"/>
                <w:sz w:val="28"/>
                <w:szCs w:val="28"/>
              </w:rPr>
              <w:t>集成BMC管理模块，板载iBMC管理模块，支持IPMI、SOL、KVM Over IP、虚拟媒体等管理特性，对外提供1个10/100Mbps RJ45管理网口</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10</w:t>
            </w:r>
          </w:p>
        </w:tc>
        <w:tc>
          <w:tcPr>
            <w:tcW w:w="1849"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保修</w:t>
            </w:r>
            <w:r>
              <w:rPr>
                <w:rFonts w:ascii="仿宋_GB2312" w:hAnsi="宋体" w:eastAsia="仿宋_GB2312"/>
                <w:color w:val="auto"/>
                <w:sz w:val="28"/>
                <w:szCs w:val="28"/>
              </w:rPr>
              <w:t>服务</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原厂三年保修服务</w:t>
            </w:r>
          </w:p>
        </w:tc>
      </w:tr>
    </w:tbl>
    <w:p>
      <w:pPr>
        <w:ind w:left="1" w:firstLine="564" w:firstLineChars="188"/>
        <w:rPr>
          <w:rFonts w:ascii="仿宋_GB2312" w:hAnsi="宋体" w:eastAsia="仿宋_GB2312"/>
          <w:color w:val="auto"/>
          <w:sz w:val="30"/>
          <w:szCs w:val="30"/>
        </w:rPr>
      </w:pPr>
      <w:r>
        <w:rPr>
          <w:rFonts w:hint="eastAsia" w:ascii="仿宋_GB2312" w:hAnsi="宋体" w:eastAsia="仿宋_GB2312"/>
          <w:color w:val="auto"/>
          <w:sz w:val="30"/>
          <w:szCs w:val="30"/>
        </w:rPr>
        <w:t>（注：以上标注★相关内容为重要技术参数和要求，其中服务器参考华为</w:t>
      </w:r>
      <w:r>
        <w:rPr>
          <w:rFonts w:ascii="仿宋_GB2312" w:hAnsi="宋体" w:eastAsia="仿宋_GB2312"/>
          <w:color w:val="auto"/>
          <w:sz w:val="30"/>
          <w:szCs w:val="30"/>
        </w:rPr>
        <w:t>2288H V5</w:t>
      </w:r>
      <w:r>
        <w:rPr>
          <w:rFonts w:hint="eastAsia" w:ascii="仿宋_GB2312" w:hAnsi="宋体" w:eastAsia="仿宋_GB2312"/>
          <w:color w:val="auto"/>
          <w:sz w:val="30"/>
          <w:szCs w:val="30"/>
        </w:rPr>
        <w:t>相关技术指标。）</w:t>
      </w:r>
    </w:p>
    <w:p>
      <w:pPr>
        <w:ind w:left="600"/>
        <w:rPr>
          <w:rFonts w:ascii="仿宋_GB2312" w:hAnsi="宋体" w:eastAsia="仿宋_GB2312"/>
          <w:color w:val="auto"/>
          <w:sz w:val="30"/>
          <w:szCs w:val="30"/>
        </w:rPr>
      </w:pP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6.</w:t>
      </w:r>
      <w:r>
        <w:rPr>
          <w:rFonts w:hint="eastAsia" w:ascii="黑体" w:hAnsi="黑体" w:eastAsia="黑体"/>
          <w:b/>
          <w:bCs/>
          <w:color w:val="auto"/>
          <w:sz w:val="32"/>
          <w:szCs w:val="32"/>
        </w:rPr>
        <w:t>进度要求</w:t>
      </w:r>
    </w:p>
    <w:p>
      <w:pPr>
        <w:spacing w:after="163" w:afterLines="5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合同签订的</w:t>
      </w:r>
      <w:r>
        <w:rPr>
          <w:rFonts w:ascii="仿宋_GB2312" w:hAnsi="宋体" w:eastAsia="仿宋_GB2312"/>
          <w:color w:val="auto"/>
          <w:sz w:val="30"/>
          <w:szCs w:val="30"/>
        </w:rPr>
        <w:t>15</w:t>
      </w:r>
      <w:r>
        <w:rPr>
          <w:rFonts w:hint="eastAsia" w:ascii="仿宋_GB2312" w:hAnsi="宋体" w:eastAsia="仿宋_GB2312"/>
          <w:color w:val="auto"/>
          <w:sz w:val="30"/>
          <w:szCs w:val="30"/>
        </w:rPr>
        <w:t xml:space="preserve">天内完成系统部署、本地安装、测试、并完成相应的集成开发等工作。 </w:t>
      </w:r>
    </w:p>
    <w:tbl>
      <w:tblPr>
        <w:tblStyle w:val="14"/>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218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项目内容</w:t>
            </w:r>
          </w:p>
        </w:tc>
        <w:tc>
          <w:tcPr>
            <w:tcW w:w="2184"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天数</w:t>
            </w:r>
          </w:p>
        </w:tc>
        <w:tc>
          <w:tcPr>
            <w:tcW w:w="1930"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合同签订</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开始</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网络调研规划设计服务</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服务器环境及资源准备</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系统部署安装</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客户环境调测适配（含测试）</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6</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项目验收（含培训）</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项目试运行</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30天</w:t>
            </w:r>
          </w:p>
        </w:tc>
        <w:tc>
          <w:tcPr>
            <w:tcW w:w="1930" w:type="dxa"/>
          </w:tcPr>
          <w:p>
            <w:pPr>
              <w:spacing w:line="480" w:lineRule="exact"/>
              <w:jc w:val="center"/>
              <w:rPr>
                <w:rFonts w:ascii="仿宋_GB2312" w:hAnsi="宋体" w:eastAsia="仿宋_GB2312"/>
                <w:color w:val="auto"/>
                <w:sz w:val="28"/>
                <w:szCs w:val="28"/>
              </w:rPr>
            </w:pPr>
          </w:p>
        </w:tc>
      </w:tr>
    </w:tbl>
    <w:p>
      <w:pPr>
        <w:spacing w:line="480" w:lineRule="exact"/>
        <w:jc w:val="center"/>
        <w:rPr>
          <w:rFonts w:ascii="宋体" w:hAnsi="宋体" w:eastAsia="宋体"/>
          <w:color w:val="auto"/>
          <w:sz w:val="28"/>
          <w:szCs w:val="28"/>
        </w:rPr>
      </w:pP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7.</w:t>
      </w:r>
      <w:r>
        <w:rPr>
          <w:rFonts w:hint="eastAsia" w:ascii="黑体" w:hAnsi="黑体" w:eastAsia="黑体"/>
          <w:b/>
          <w:bCs/>
          <w:color w:val="auto"/>
          <w:sz w:val="32"/>
          <w:szCs w:val="32"/>
        </w:rPr>
        <w:t>质量保证要求</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系统终验合格后进入系统质量保证期，自双方代表在系统终验合格单上签字之日起计算，有效期为1年。</w:t>
      </w:r>
    </w:p>
    <w:p>
      <w:pPr>
        <w:pStyle w:val="23"/>
        <w:numPr>
          <w:ilvl w:val="0"/>
          <w:numId w:val="4"/>
        </w:numPr>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提供1年免费维护服务和技术支持服务，为本项目提供完善周到的技术支持和售后服务，指派技术人员、协调厂商提供技术服务。</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质量保证期内，提供优质的服务和技术保障</w:t>
      </w:r>
      <w:r>
        <w:rPr>
          <w:rFonts w:hint="eastAsia" w:ascii="仿宋_GB2312" w:hAnsi="宋体" w:eastAsia="仿宋_GB2312"/>
          <w:color w:val="auto"/>
          <w:sz w:val="30"/>
          <w:szCs w:val="30"/>
        </w:rPr>
        <w:t>。</w:t>
      </w:r>
      <w:r>
        <w:rPr>
          <w:rFonts w:ascii="仿宋_GB2312" w:hAnsi="宋体" w:eastAsia="仿宋_GB2312"/>
          <w:color w:val="auto"/>
          <w:sz w:val="30"/>
          <w:szCs w:val="30"/>
        </w:rPr>
        <w:t>系统试运行期间，安排专人指导需求方使用人员的操作，排除系统试运行过程中出现的故障；系统出现故障（致使系统无法正常运行）时，技术人员将即时进行响应，提出解决方案和措施，并做好问题记录，确保问题解决。</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质量保证期内，协助</w:t>
      </w:r>
      <w:r>
        <w:rPr>
          <w:rFonts w:hint="eastAsia" w:ascii="仿宋_GB2312" w:hAnsi="宋体" w:eastAsia="仿宋_GB2312"/>
          <w:color w:val="auto"/>
          <w:sz w:val="30"/>
          <w:szCs w:val="30"/>
        </w:rPr>
        <w:t>采购方</w:t>
      </w:r>
      <w:r>
        <w:rPr>
          <w:rFonts w:ascii="仿宋_GB2312" w:hAnsi="宋体" w:eastAsia="仿宋_GB2312"/>
          <w:color w:val="auto"/>
          <w:sz w:val="30"/>
          <w:szCs w:val="30"/>
        </w:rPr>
        <w:t>做好项目管理工作。尤其是在其他系统变更、调整等过程中提供相关服务，使各系统能正常运行。</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服务内容包括：技术咨询、软件优化升级、状态报告和故障检测、优化系统、扩容与改造建议、用户满意度调查等。</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技术咨询：提供平台产品相关的免费技术咨询服务，服务方式包括热线电话、电子邮件（7×24）、传真等方式。</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软件优化升级：优化升级服务包括基础产品运维、软件系统运维、系统软件升级、业务功能完善。</w:t>
      </w:r>
    </w:p>
    <w:p>
      <w:pPr>
        <w:pStyle w:val="23"/>
        <w:numPr>
          <w:ilvl w:val="0"/>
          <w:numId w:val="4"/>
        </w:numPr>
        <w:rPr>
          <w:rFonts w:ascii="仿宋_GB2312" w:hAnsi="宋体" w:eastAsia="仿宋_GB2312"/>
          <w:color w:val="auto"/>
          <w:sz w:val="30"/>
          <w:szCs w:val="30"/>
        </w:rPr>
      </w:pPr>
      <w:r>
        <w:rPr>
          <w:rFonts w:ascii="仿宋_GB2312" w:hAnsi="宋体" w:eastAsia="仿宋_GB2312"/>
          <w:color w:val="auto"/>
          <w:sz w:val="30"/>
          <w:szCs w:val="30"/>
        </w:rPr>
        <w:t>软件系统运维：保障本项目建设的应用软件系统安装、调试、运行正常。</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8.</w:t>
      </w:r>
      <w:r>
        <w:rPr>
          <w:rFonts w:hint="eastAsia" w:ascii="黑体" w:hAnsi="黑体" w:eastAsia="黑体"/>
          <w:b/>
          <w:bCs/>
          <w:color w:val="auto"/>
          <w:sz w:val="32"/>
          <w:szCs w:val="32"/>
        </w:rPr>
        <w:t>培训要求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实施方提供不少于</w:t>
      </w:r>
      <w:r>
        <w:rPr>
          <w:rFonts w:ascii="仿宋_GB2312" w:hAnsi="宋体" w:eastAsia="仿宋_GB2312"/>
          <w:color w:val="auto"/>
          <w:sz w:val="30"/>
          <w:szCs w:val="30"/>
        </w:rPr>
        <w:t>3</w:t>
      </w:r>
      <w:r>
        <w:rPr>
          <w:rFonts w:hint="eastAsia" w:ascii="仿宋_GB2312" w:hAnsi="宋体" w:eastAsia="仿宋_GB2312"/>
          <w:color w:val="auto"/>
          <w:sz w:val="30"/>
          <w:szCs w:val="30"/>
        </w:rPr>
        <w:t>天不少于</w:t>
      </w:r>
      <w:r>
        <w:rPr>
          <w:rFonts w:ascii="仿宋_GB2312" w:hAnsi="宋体" w:eastAsia="仿宋_GB2312"/>
          <w:color w:val="auto"/>
          <w:sz w:val="30"/>
          <w:szCs w:val="30"/>
        </w:rPr>
        <w:t>5</w:t>
      </w:r>
      <w:r>
        <w:rPr>
          <w:rFonts w:hint="eastAsia" w:ascii="仿宋_GB2312" w:hAnsi="宋体" w:eastAsia="仿宋_GB2312"/>
          <w:color w:val="auto"/>
          <w:sz w:val="30"/>
          <w:szCs w:val="30"/>
        </w:rPr>
        <w:t>人次的厂商认证的工程师安装配置等实操培训课程。</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培训工具包括：</w:t>
      </w:r>
    </w:p>
    <w:p>
      <w:pPr>
        <w:pStyle w:val="23"/>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文档资料：包括产品说明书、用户使用手册、产品管理手册及其他培训资料。</w:t>
      </w:r>
    </w:p>
    <w:p>
      <w:pPr>
        <w:pStyle w:val="23"/>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培训器材：笔记本电脑，投影仪及扩音话筒等，如有条件可以采用多媒体会议室，效果更佳。</w:t>
      </w:r>
    </w:p>
    <w:p>
      <w:pPr>
        <w:pStyle w:val="23"/>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实际操作测试环境</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培训方式为：</w:t>
      </w:r>
    </w:p>
    <w:p>
      <w:pPr>
        <w:pStyle w:val="23"/>
        <w:numPr>
          <w:ilvl w:val="0"/>
          <w:numId w:val="6"/>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人工授课：使用多媒体资料（PPT或其他）对相关用户进行全方面的使用讲解。</w:t>
      </w:r>
    </w:p>
    <w:p>
      <w:pPr>
        <w:pStyle w:val="23"/>
        <w:numPr>
          <w:ilvl w:val="0"/>
          <w:numId w:val="6"/>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实际环境模拟（UAT环境）：培训师借助于UAT环境对被培训者进行实际操作的跟踪指导，以确保正式使用时被培训者能正确操作和熟练使用。</w:t>
      </w:r>
    </w:p>
    <w:p>
      <w:pPr>
        <w:pStyle w:val="23"/>
        <w:numPr>
          <w:ilvl w:val="0"/>
          <w:numId w:val="6"/>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培训效果考核：通过制定培训内容相关的试卷或培训师对被培训者实际操作的水准进行考核，以对培训效果进行检查，并将结果反馈给相关负责人。</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9.</w:t>
      </w:r>
      <w:r>
        <w:rPr>
          <w:rFonts w:hint="eastAsia" w:ascii="黑体" w:hAnsi="黑体" w:eastAsia="黑体"/>
          <w:b/>
          <w:bCs/>
          <w:color w:val="auto"/>
          <w:sz w:val="32"/>
          <w:szCs w:val="32"/>
        </w:rPr>
        <w:t>文件要求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在项目准备阶段，部署实施阶段，测试阶段，上线准备和最终上线阶段。</w:t>
      </w:r>
      <w:r>
        <w:rPr>
          <w:rFonts w:ascii="仿宋_GB2312" w:hAnsi="宋体" w:eastAsia="仿宋_GB2312"/>
          <w:color w:val="auto"/>
          <w:sz w:val="30"/>
          <w:szCs w:val="30"/>
        </w:rPr>
        <w:t>提供全套详细文档资料</w:t>
      </w:r>
      <w:r>
        <w:rPr>
          <w:rFonts w:hint="eastAsia" w:ascii="仿宋_GB2312" w:hAnsi="宋体" w:eastAsia="仿宋_GB2312"/>
          <w:color w:val="auto"/>
          <w:sz w:val="30"/>
          <w:szCs w:val="30"/>
        </w:rPr>
        <w:t>，</w:t>
      </w:r>
      <w:r>
        <w:rPr>
          <w:rFonts w:ascii="仿宋_GB2312" w:hAnsi="宋体" w:eastAsia="仿宋_GB2312"/>
          <w:color w:val="auto"/>
          <w:sz w:val="30"/>
          <w:szCs w:val="30"/>
        </w:rPr>
        <w:t>包括但不限于：需求分析说明书、系统设计文档、系统架构文档、系统部署文档、系统功能测试文档、操作手册、技术维护手册、操作人员培训手册、常见问题处理手册等各类文档</w:t>
      </w:r>
      <w:r>
        <w:rPr>
          <w:rFonts w:hint="eastAsia" w:ascii="仿宋_GB2312" w:hAnsi="宋体" w:eastAsia="仿宋_GB2312"/>
          <w:color w:val="auto"/>
          <w:sz w:val="30"/>
          <w:szCs w:val="30"/>
        </w:rPr>
        <w:t>。</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10.</w:t>
      </w:r>
      <w:r>
        <w:rPr>
          <w:rFonts w:hint="eastAsia" w:ascii="黑体" w:hAnsi="黑体" w:eastAsia="黑体"/>
          <w:b/>
          <w:bCs/>
          <w:color w:val="auto"/>
          <w:sz w:val="32"/>
          <w:szCs w:val="32"/>
        </w:rPr>
        <w:t>验收要求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实施方完成系统部署后开始上线进入试运行阶段，试运阶段持续时间为</w:t>
      </w:r>
      <w:r>
        <w:rPr>
          <w:rFonts w:ascii="仿宋_GB2312" w:hAnsi="宋体" w:eastAsia="仿宋_GB2312"/>
          <w:color w:val="auto"/>
          <w:sz w:val="30"/>
          <w:szCs w:val="30"/>
        </w:rPr>
        <w:t>1个月，试运期间，系统应稳定运行并对系统存在问题进行消缺。试运期间的要求：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（1）功能和技术指标满足各技术规格书要求。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（2）在试运行期间由于实施方案的原因，本系统所涉及到的所有软件有一条或多条达不到规定的技术性能时，实施方应在试运行期内</w:t>
      </w:r>
      <w:r>
        <w:rPr>
          <w:rFonts w:ascii="仿宋_GB2312" w:hAnsi="宋体" w:eastAsia="仿宋_GB2312"/>
          <w:color w:val="auto"/>
          <w:sz w:val="30"/>
          <w:szCs w:val="30"/>
        </w:rPr>
        <w:t>采取有效措施，使其完全达到规定的技术要求，并且试运行期将重新开始计算直到试运行期满，在此期间的一切费用由</w:t>
      </w:r>
      <w:r>
        <w:rPr>
          <w:rFonts w:hint="eastAsia" w:ascii="仿宋_GB2312" w:hAnsi="宋体" w:eastAsia="仿宋_GB2312"/>
          <w:color w:val="auto"/>
          <w:sz w:val="30"/>
          <w:szCs w:val="30"/>
        </w:rPr>
        <w:t>实施方</w:t>
      </w:r>
      <w:r>
        <w:rPr>
          <w:rFonts w:ascii="仿宋_GB2312" w:hAnsi="宋体" w:eastAsia="仿宋_GB2312"/>
          <w:color w:val="auto"/>
          <w:sz w:val="30"/>
          <w:szCs w:val="30"/>
        </w:rPr>
        <w:t>承担。</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试运结束后，系统正式上线运行并组织项目验收。</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项目验收：合同要求范围内系统功能上线后，符合技术方案要求，由采购方组织项目验收工作。验收的内容为系统所有功能、性能以及稳定性的测试，系统的所有功能和技术性能达到合格。</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最终验收前</w:t>
      </w:r>
      <w:r>
        <w:rPr>
          <w:rFonts w:ascii="仿宋_GB2312" w:hAnsi="宋体" w:eastAsia="仿宋_GB2312"/>
          <w:color w:val="auto"/>
          <w:sz w:val="30"/>
          <w:szCs w:val="30"/>
        </w:rPr>
        <w:t>，</w:t>
      </w:r>
      <w:r>
        <w:rPr>
          <w:rFonts w:hint="eastAsia" w:ascii="仿宋_GB2312" w:hAnsi="宋体" w:eastAsia="仿宋_GB2312"/>
          <w:color w:val="auto"/>
          <w:sz w:val="30"/>
          <w:szCs w:val="30"/>
        </w:rPr>
        <w:t>实施方</w:t>
      </w:r>
      <w:r>
        <w:rPr>
          <w:rFonts w:ascii="仿宋_GB2312" w:hAnsi="宋体" w:eastAsia="仿宋_GB2312"/>
          <w:color w:val="auto"/>
          <w:sz w:val="30"/>
          <w:szCs w:val="30"/>
        </w:rPr>
        <w:t>填写《华能海南昌江核电有限公司信息化项目竣工验收申请表》及《华能海南昌江核电有限公司信息化项目竣工验收表》，经双方确认后作为验收的依据。</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11.</w:t>
      </w:r>
      <w:r>
        <w:rPr>
          <w:rFonts w:hint="eastAsia" w:ascii="黑体" w:hAnsi="黑体" w:eastAsia="黑体"/>
          <w:b/>
          <w:bCs/>
          <w:color w:val="auto"/>
          <w:sz w:val="32"/>
          <w:szCs w:val="32"/>
        </w:rPr>
        <w:t>附件</w:t>
      </w:r>
    </w:p>
    <w:p>
      <w:pPr>
        <w:ind w:firstLine="600" w:firstLineChars="200"/>
        <w:rPr>
          <w:rFonts w:ascii="仿宋_GB2312" w:hAnsi="宋体" w:eastAsia="仿宋_GB2312"/>
          <w:color w:val="auto"/>
          <w:sz w:val="30"/>
          <w:szCs w:val="30"/>
        </w:rPr>
      </w:pPr>
      <w:r>
        <w:rPr>
          <w:rFonts w:ascii="仿宋_GB2312" w:hAnsi="宋体" w:eastAsia="仿宋_GB2312"/>
          <w:color w:val="auto"/>
          <w:sz w:val="30"/>
          <w:szCs w:val="30"/>
        </w:rPr>
        <w:t>投标方将与</w:t>
      </w:r>
      <w:r>
        <w:rPr>
          <w:rFonts w:hint="eastAsia" w:ascii="仿宋_GB2312" w:hAnsi="宋体" w:eastAsia="仿宋_GB2312"/>
          <w:color w:val="auto"/>
          <w:sz w:val="30"/>
          <w:szCs w:val="30"/>
        </w:rPr>
        <w:t>规格书</w:t>
      </w:r>
      <w:r>
        <w:rPr>
          <w:rFonts w:ascii="仿宋_GB2312" w:hAnsi="宋体" w:eastAsia="仿宋_GB2312"/>
          <w:color w:val="auto"/>
          <w:sz w:val="30"/>
          <w:szCs w:val="30"/>
        </w:rPr>
        <w:t>的差异汇集成下表：</w:t>
      </w:r>
    </w:p>
    <w:tbl>
      <w:tblPr>
        <w:tblStyle w:val="13"/>
        <w:tblpPr w:leftFromText="180" w:rightFromText="180" w:vertAnchor="text" w:horzAnchor="page" w:tblpX="1806" w:tblpY="113"/>
        <w:tblOverlap w:val="never"/>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822"/>
        <w:gridCol w:w="26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725" w:type="dxa"/>
          </w:tcPr>
          <w:p>
            <w:pPr>
              <w:jc w:val="center"/>
              <w:rPr>
                <w:rFonts w:ascii="仿宋_GB2312" w:hAnsi="宋体" w:eastAsia="仿宋_GB2312"/>
                <w:color w:val="auto"/>
                <w:sz w:val="28"/>
                <w:szCs w:val="28"/>
              </w:rPr>
            </w:pPr>
            <w:r>
              <w:rPr>
                <w:rFonts w:ascii="仿宋_GB2312" w:hAnsi="宋体" w:eastAsia="仿宋_GB2312"/>
                <w:color w:val="auto"/>
                <w:sz w:val="28"/>
                <w:szCs w:val="28"/>
              </w:rPr>
              <w:t>序号</w:t>
            </w:r>
          </w:p>
        </w:tc>
        <w:tc>
          <w:tcPr>
            <w:tcW w:w="1822" w:type="dxa"/>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规格书</w:t>
            </w:r>
            <w:r>
              <w:rPr>
                <w:rFonts w:ascii="仿宋_GB2312" w:hAnsi="宋体" w:eastAsia="仿宋_GB2312"/>
                <w:color w:val="auto"/>
                <w:sz w:val="28"/>
                <w:szCs w:val="28"/>
              </w:rPr>
              <w:t>章节号</w:t>
            </w:r>
          </w:p>
        </w:tc>
        <w:tc>
          <w:tcPr>
            <w:tcW w:w="2693" w:type="dxa"/>
          </w:tcPr>
          <w:p>
            <w:pPr>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t>规格书</w:t>
            </w:r>
            <w:r>
              <w:rPr>
                <w:rFonts w:ascii="仿宋_GB2312" w:hAnsi="宋体" w:eastAsia="仿宋_GB2312"/>
                <w:color w:val="auto"/>
                <w:sz w:val="28"/>
                <w:szCs w:val="28"/>
              </w:rPr>
              <w:t>要求</w:t>
            </w:r>
          </w:p>
        </w:tc>
        <w:tc>
          <w:tcPr>
            <w:tcW w:w="3402" w:type="dxa"/>
          </w:tcPr>
          <w:p>
            <w:pPr>
              <w:jc w:val="center"/>
              <w:rPr>
                <w:rFonts w:ascii="仿宋_GB2312" w:hAnsi="宋体" w:eastAsia="仿宋_GB2312"/>
                <w:color w:val="auto"/>
                <w:sz w:val="28"/>
                <w:szCs w:val="28"/>
              </w:rPr>
            </w:pPr>
            <w:r>
              <w:rPr>
                <w:rFonts w:ascii="仿宋_GB2312" w:hAnsi="宋体" w:eastAsia="仿宋_GB2312"/>
                <w:color w:val="auto"/>
                <w:sz w:val="28"/>
                <w:szCs w:val="28"/>
              </w:rPr>
              <w:t>实际供货差异描述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725" w:type="dxa"/>
          </w:tcPr>
          <w:p>
            <w:pPr>
              <w:ind w:firstLine="600" w:firstLineChars="200"/>
              <w:rPr>
                <w:rFonts w:ascii="仿宋_GB2312" w:hAnsi="宋体" w:eastAsia="仿宋_GB2312"/>
                <w:color w:val="auto"/>
                <w:sz w:val="30"/>
                <w:szCs w:val="30"/>
              </w:rPr>
            </w:pPr>
          </w:p>
        </w:tc>
        <w:tc>
          <w:tcPr>
            <w:tcW w:w="1822" w:type="dxa"/>
          </w:tcPr>
          <w:p>
            <w:pPr>
              <w:ind w:firstLine="600" w:firstLineChars="200"/>
              <w:rPr>
                <w:rFonts w:ascii="仿宋_GB2312" w:hAnsi="宋体" w:eastAsia="仿宋_GB2312"/>
                <w:color w:val="auto"/>
                <w:sz w:val="30"/>
                <w:szCs w:val="30"/>
              </w:rPr>
            </w:pPr>
          </w:p>
        </w:tc>
        <w:tc>
          <w:tcPr>
            <w:tcW w:w="2693" w:type="dxa"/>
          </w:tcPr>
          <w:p>
            <w:pPr>
              <w:ind w:firstLine="600" w:firstLineChars="200"/>
              <w:rPr>
                <w:rFonts w:ascii="仿宋_GB2312" w:hAnsi="宋体" w:eastAsia="仿宋_GB2312"/>
                <w:color w:val="auto"/>
                <w:sz w:val="30"/>
                <w:szCs w:val="30"/>
              </w:rPr>
            </w:pPr>
          </w:p>
        </w:tc>
        <w:tc>
          <w:tcPr>
            <w:tcW w:w="3402" w:type="dxa"/>
          </w:tcPr>
          <w:p>
            <w:pPr>
              <w:ind w:firstLine="600" w:firstLineChars="200"/>
              <w:rPr>
                <w:rFonts w:ascii="仿宋_GB2312" w:hAnsi="宋体" w:eastAsia="仿宋_GB2312"/>
                <w:color w:val="auto"/>
                <w:sz w:val="30"/>
                <w:szCs w:val="30"/>
              </w:rPr>
            </w:pPr>
          </w:p>
        </w:tc>
      </w:tr>
    </w:tbl>
    <w:p>
      <w:pPr>
        <w:ind w:firstLine="600" w:firstLineChars="200"/>
        <w:rPr>
          <w:rFonts w:ascii="仿宋_GB2312" w:hAnsi="宋体" w:eastAsia="仿宋_GB2312"/>
          <w:color w:val="auto"/>
          <w:sz w:val="30"/>
          <w:szCs w:val="30"/>
        </w:rPr>
      </w:pPr>
    </w:p>
    <w:sectPr>
      <w:headerReference r:id="rId9" w:type="first"/>
      <w:footerReference r:id="rId10" w:type="first"/>
      <w:pgSz w:w="11906" w:h="16838"/>
      <w:pgMar w:top="1440" w:right="1558" w:bottom="1440" w:left="1800" w:header="850"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205141"/>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0"/>
      </w:pBdr>
      <w:tabs>
        <w:tab w:val="center" w:pos="4153"/>
        <w:tab w:val="right" w:pos="8306"/>
        <w:tab w:val="clear" w:pos="4320"/>
        <w:tab w:val="clear" w:pos="8640"/>
      </w:tabs>
      <w:rPr>
        <w:szCs w:val="21"/>
      </w:rPr>
    </w:pPr>
    <w:r>
      <w:rPr>
        <w:bCs/>
        <w:szCs w:val="21"/>
      </w:rPr>
      <w:t>本文件产权属华能海南昌江核电有限公司所有，未经书面许可，不得以任何方式复制、泄露。</w:t>
    </w:r>
  </w:p>
  <w:p>
    <w:pPr>
      <w:pStyle w:val="9"/>
      <w:tabs>
        <w:tab w:val="center" w:pos="4153"/>
        <w:tab w:val="right" w:pos="8306"/>
        <w:tab w:val="clear" w:pos="4320"/>
        <w:tab w:val="clear" w:pos="8640"/>
      </w:tabs>
    </w:pPr>
  </w:p>
  <w:p>
    <w:pPr>
      <w:pStyle w:val="9"/>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6326241"/>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rPr>
        <w:rFonts w:asciiTheme="minorEastAsia" w:hAnsiTheme="minorEastAsia" w:eastAsiaTheme="minorEastAsia"/>
      </w:rPr>
    </w:pPr>
    <w:r>
      <w:rPr>
        <w:rFonts w:hint="eastAsia" w:cs="宋体" w:asciiTheme="minorEastAsia" w:hAnsiTheme="minorEastAsia" w:eastAsiaTheme="minorEastAsia"/>
        <w:bCs/>
        <w:sz w:val="21"/>
        <w:szCs w:val="21"/>
      </w:rPr>
      <w:t>华能海南昌江核电有限公司智能安全移动办公平台技术规格书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pPr>
    <w:r>
      <w:rPr>
        <w:rFonts w:hint="eastAsia" w:cs="宋体" w:asciiTheme="minorEastAsia" w:hAnsiTheme="minorEastAsia" w:eastAsiaTheme="minorEastAsia"/>
        <w:bCs/>
        <w:sz w:val="21"/>
        <w:szCs w:val="21"/>
      </w:rPr>
      <w:t>华能海南昌江核电有限公司智能安全移动办公平台采购技术规格书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3A99"/>
    <w:multiLevelType w:val="multilevel"/>
    <w:tmpl w:val="13183A99"/>
    <w:lvl w:ilvl="0" w:tentative="0">
      <w:start w:val="1"/>
      <w:numFmt w:val="decimal"/>
      <w:pStyle w:val="2"/>
      <w:lvlText w:val="%1."/>
      <w:lvlJc w:val="left"/>
      <w:pPr>
        <w:ind w:left="425" w:hanging="425"/>
      </w:p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pStyle w:val="6"/>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2A0F362F"/>
    <w:multiLevelType w:val="multilevel"/>
    <w:tmpl w:val="2A0F362F"/>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2E77F1B"/>
    <w:multiLevelType w:val="multilevel"/>
    <w:tmpl w:val="32E77F1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EE22F5B"/>
    <w:multiLevelType w:val="multilevel"/>
    <w:tmpl w:val="3EE22F5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8B01C77"/>
    <w:multiLevelType w:val="multilevel"/>
    <w:tmpl w:val="58B01C77"/>
    <w:lvl w:ilvl="0" w:tentative="0">
      <w:start w:val="1"/>
      <w:numFmt w:val="decimal"/>
      <w:lvlText w:val="%1)"/>
      <w:lvlJc w:val="left"/>
      <w:pPr>
        <w:ind w:left="1440" w:hanging="420"/>
      </w:pPr>
    </w:lvl>
    <w:lvl w:ilvl="1" w:tentative="0">
      <w:start w:val="1"/>
      <w:numFmt w:val="lowerLetter"/>
      <w:lvlText w:val="%2)"/>
      <w:lvlJc w:val="left"/>
      <w:pPr>
        <w:ind w:left="1860" w:hanging="420"/>
      </w:pPr>
    </w:lvl>
    <w:lvl w:ilvl="2" w:tentative="0">
      <w:start w:val="1"/>
      <w:numFmt w:val="lowerRoman"/>
      <w:lvlText w:val="%3."/>
      <w:lvlJc w:val="right"/>
      <w:pPr>
        <w:ind w:left="2280" w:hanging="420"/>
      </w:pPr>
    </w:lvl>
    <w:lvl w:ilvl="3" w:tentative="0">
      <w:start w:val="1"/>
      <w:numFmt w:val="decimal"/>
      <w:lvlText w:val="%4."/>
      <w:lvlJc w:val="left"/>
      <w:pPr>
        <w:ind w:left="2700" w:hanging="420"/>
      </w:pPr>
    </w:lvl>
    <w:lvl w:ilvl="4" w:tentative="0">
      <w:start w:val="1"/>
      <w:numFmt w:val="lowerLetter"/>
      <w:lvlText w:val="%5)"/>
      <w:lvlJc w:val="left"/>
      <w:pPr>
        <w:ind w:left="3120" w:hanging="420"/>
      </w:pPr>
    </w:lvl>
    <w:lvl w:ilvl="5" w:tentative="0">
      <w:start w:val="1"/>
      <w:numFmt w:val="lowerRoman"/>
      <w:lvlText w:val="%6."/>
      <w:lvlJc w:val="right"/>
      <w:pPr>
        <w:ind w:left="3540" w:hanging="420"/>
      </w:pPr>
    </w:lvl>
    <w:lvl w:ilvl="6" w:tentative="0">
      <w:start w:val="1"/>
      <w:numFmt w:val="decimal"/>
      <w:lvlText w:val="%7."/>
      <w:lvlJc w:val="left"/>
      <w:pPr>
        <w:ind w:left="3960" w:hanging="420"/>
      </w:pPr>
    </w:lvl>
    <w:lvl w:ilvl="7" w:tentative="0">
      <w:start w:val="1"/>
      <w:numFmt w:val="lowerLetter"/>
      <w:lvlText w:val="%8)"/>
      <w:lvlJc w:val="left"/>
      <w:pPr>
        <w:ind w:left="4380" w:hanging="420"/>
      </w:pPr>
    </w:lvl>
    <w:lvl w:ilvl="8" w:tentative="0">
      <w:start w:val="1"/>
      <w:numFmt w:val="lowerRoman"/>
      <w:lvlText w:val="%9."/>
      <w:lvlJc w:val="right"/>
      <w:pPr>
        <w:ind w:left="4800" w:hanging="420"/>
      </w:pPr>
    </w:lvl>
  </w:abstractNum>
  <w:abstractNum w:abstractNumId="5">
    <w:nsid w:val="65E67B4F"/>
    <w:multiLevelType w:val="multilevel"/>
    <w:tmpl w:val="65E67B4F"/>
    <w:lvl w:ilvl="0" w:tentative="0">
      <w:start w:val="1"/>
      <w:numFmt w:val="decimal"/>
      <w:lvlText w:val="%1)"/>
      <w:lvlJc w:val="left"/>
      <w:pPr>
        <w:ind w:left="1020" w:hanging="420"/>
      </w:pPr>
    </w:lvl>
    <w:lvl w:ilvl="1" w:tentative="0">
      <w:start w:val="1"/>
      <w:numFmt w:val="decimal"/>
      <w:lvlText w:val="（%2）"/>
      <w:lvlJc w:val="left"/>
      <w:pPr>
        <w:ind w:left="2100" w:hanging="1080"/>
      </w:pPr>
      <w:rPr>
        <w:rFonts w:hint="default"/>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212"/>
    <w:rsid w:val="00000B63"/>
    <w:rsid w:val="00035A4C"/>
    <w:rsid w:val="000366AE"/>
    <w:rsid w:val="00042128"/>
    <w:rsid w:val="00081190"/>
    <w:rsid w:val="0008393F"/>
    <w:rsid w:val="000A20D8"/>
    <w:rsid w:val="000B5693"/>
    <w:rsid w:val="000B701E"/>
    <w:rsid w:val="000B78A1"/>
    <w:rsid w:val="000E360E"/>
    <w:rsid w:val="000E7B47"/>
    <w:rsid w:val="00103F91"/>
    <w:rsid w:val="00133A4C"/>
    <w:rsid w:val="0015028D"/>
    <w:rsid w:val="001926B0"/>
    <w:rsid w:val="001C5D4C"/>
    <w:rsid w:val="001E22F1"/>
    <w:rsid w:val="001E77B6"/>
    <w:rsid w:val="001E7D9E"/>
    <w:rsid w:val="00203238"/>
    <w:rsid w:val="00204DF1"/>
    <w:rsid w:val="00211A82"/>
    <w:rsid w:val="0022473A"/>
    <w:rsid w:val="00253C83"/>
    <w:rsid w:val="00281C5B"/>
    <w:rsid w:val="00293C65"/>
    <w:rsid w:val="002D376B"/>
    <w:rsid w:val="002E0777"/>
    <w:rsid w:val="002E29BD"/>
    <w:rsid w:val="00335AEB"/>
    <w:rsid w:val="003416F4"/>
    <w:rsid w:val="00344DBA"/>
    <w:rsid w:val="003536BC"/>
    <w:rsid w:val="00387191"/>
    <w:rsid w:val="003873E7"/>
    <w:rsid w:val="003957D3"/>
    <w:rsid w:val="003C4EFF"/>
    <w:rsid w:val="003C640C"/>
    <w:rsid w:val="003C6CAE"/>
    <w:rsid w:val="0040293C"/>
    <w:rsid w:val="0041138C"/>
    <w:rsid w:val="004121C4"/>
    <w:rsid w:val="00437747"/>
    <w:rsid w:val="0044640D"/>
    <w:rsid w:val="004819E6"/>
    <w:rsid w:val="004912AD"/>
    <w:rsid w:val="004A2DD9"/>
    <w:rsid w:val="004B3782"/>
    <w:rsid w:val="004B4878"/>
    <w:rsid w:val="004D0841"/>
    <w:rsid w:val="004D5E07"/>
    <w:rsid w:val="004E6C11"/>
    <w:rsid w:val="004F570E"/>
    <w:rsid w:val="0055094E"/>
    <w:rsid w:val="00565654"/>
    <w:rsid w:val="005750D4"/>
    <w:rsid w:val="00584D62"/>
    <w:rsid w:val="005A1743"/>
    <w:rsid w:val="005A174C"/>
    <w:rsid w:val="005D4996"/>
    <w:rsid w:val="005E4744"/>
    <w:rsid w:val="005E6AD3"/>
    <w:rsid w:val="006006A8"/>
    <w:rsid w:val="00610F65"/>
    <w:rsid w:val="0061192D"/>
    <w:rsid w:val="00622BF3"/>
    <w:rsid w:val="00631F6D"/>
    <w:rsid w:val="00632422"/>
    <w:rsid w:val="006510F2"/>
    <w:rsid w:val="00652E08"/>
    <w:rsid w:val="006550C5"/>
    <w:rsid w:val="006A76EF"/>
    <w:rsid w:val="006B2749"/>
    <w:rsid w:val="006D1B33"/>
    <w:rsid w:val="006E3DAE"/>
    <w:rsid w:val="006F5396"/>
    <w:rsid w:val="007161DE"/>
    <w:rsid w:val="0075238D"/>
    <w:rsid w:val="007544C8"/>
    <w:rsid w:val="007620EE"/>
    <w:rsid w:val="00772732"/>
    <w:rsid w:val="00781E3C"/>
    <w:rsid w:val="007979DE"/>
    <w:rsid w:val="007A039D"/>
    <w:rsid w:val="007A3935"/>
    <w:rsid w:val="007A4FDA"/>
    <w:rsid w:val="007A787D"/>
    <w:rsid w:val="007B09D8"/>
    <w:rsid w:val="007C11C9"/>
    <w:rsid w:val="007D4CCC"/>
    <w:rsid w:val="008006AD"/>
    <w:rsid w:val="008223BA"/>
    <w:rsid w:val="0082346E"/>
    <w:rsid w:val="00824581"/>
    <w:rsid w:val="00842157"/>
    <w:rsid w:val="00861D90"/>
    <w:rsid w:val="00862D34"/>
    <w:rsid w:val="00865C04"/>
    <w:rsid w:val="008776A8"/>
    <w:rsid w:val="00880670"/>
    <w:rsid w:val="00893DD6"/>
    <w:rsid w:val="008C3E1F"/>
    <w:rsid w:val="008D0369"/>
    <w:rsid w:val="008E231B"/>
    <w:rsid w:val="008F21E0"/>
    <w:rsid w:val="008F31BF"/>
    <w:rsid w:val="008F7CDF"/>
    <w:rsid w:val="00914DC3"/>
    <w:rsid w:val="00924D0F"/>
    <w:rsid w:val="00924FE3"/>
    <w:rsid w:val="00925C23"/>
    <w:rsid w:val="00942212"/>
    <w:rsid w:val="00955B85"/>
    <w:rsid w:val="00970846"/>
    <w:rsid w:val="009832A4"/>
    <w:rsid w:val="009907F3"/>
    <w:rsid w:val="009C7AF0"/>
    <w:rsid w:val="009D4152"/>
    <w:rsid w:val="00A046FF"/>
    <w:rsid w:val="00A2230A"/>
    <w:rsid w:val="00A35575"/>
    <w:rsid w:val="00A37024"/>
    <w:rsid w:val="00A473E6"/>
    <w:rsid w:val="00A51DC8"/>
    <w:rsid w:val="00A62445"/>
    <w:rsid w:val="00A92620"/>
    <w:rsid w:val="00AB3346"/>
    <w:rsid w:val="00AC1A6B"/>
    <w:rsid w:val="00AF3FDC"/>
    <w:rsid w:val="00AF677B"/>
    <w:rsid w:val="00B029E7"/>
    <w:rsid w:val="00B11726"/>
    <w:rsid w:val="00B40D08"/>
    <w:rsid w:val="00B44040"/>
    <w:rsid w:val="00B52E79"/>
    <w:rsid w:val="00B5580C"/>
    <w:rsid w:val="00B56009"/>
    <w:rsid w:val="00B64978"/>
    <w:rsid w:val="00B7527E"/>
    <w:rsid w:val="00B96133"/>
    <w:rsid w:val="00BD3225"/>
    <w:rsid w:val="00BD6124"/>
    <w:rsid w:val="00BF1A7F"/>
    <w:rsid w:val="00BF3011"/>
    <w:rsid w:val="00C04A18"/>
    <w:rsid w:val="00C17E3D"/>
    <w:rsid w:val="00C30AA0"/>
    <w:rsid w:val="00C30CBD"/>
    <w:rsid w:val="00C31025"/>
    <w:rsid w:val="00C3134B"/>
    <w:rsid w:val="00C4003B"/>
    <w:rsid w:val="00C7118D"/>
    <w:rsid w:val="00C81ABD"/>
    <w:rsid w:val="00C8559B"/>
    <w:rsid w:val="00C946FA"/>
    <w:rsid w:val="00CB4E26"/>
    <w:rsid w:val="00CC4E1B"/>
    <w:rsid w:val="00CD15FF"/>
    <w:rsid w:val="00CD3B9E"/>
    <w:rsid w:val="00CF50BD"/>
    <w:rsid w:val="00D43924"/>
    <w:rsid w:val="00D451F7"/>
    <w:rsid w:val="00D626B1"/>
    <w:rsid w:val="00D97B31"/>
    <w:rsid w:val="00DA33AB"/>
    <w:rsid w:val="00DA4AFE"/>
    <w:rsid w:val="00DB063E"/>
    <w:rsid w:val="00DC4D8D"/>
    <w:rsid w:val="00DF2320"/>
    <w:rsid w:val="00E479E8"/>
    <w:rsid w:val="00E5441F"/>
    <w:rsid w:val="00E6007C"/>
    <w:rsid w:val="00E76099"/>
    <w:rsid w:val="00EA05D8"/>
    <w:rsid w:val="00EB3039"/>
    <w:rsid w:val="00EB4191"/>
    <w:rsid w:val="00EB4AF7"/>
    <w:rsid w:val="00EB5CDB"/>
    <w:rsid w:val="00EC25F4"/>
    <w:rsid w:val="00EE486B"/>
    <w:rsid w:val="00EE5FD1"/>
    <w:rsid w:val="00F02657"/>
    <w:rsid w:val="00F3439C"/>
    <w:rsid w:val="00F40E39"/>
    <w:rsid w:val="00F47DC5"/>
    <w:rsid w:val="00F5502C"/>
    <w:rsid w:val="00F623B8"/>
    <w:rsid w:val="00F6419B"/>
    <w:rsid w:val="00F66C87"/>
    <w:rsid w:val="00F67DE3"/>
    <w:rsid w:val="00F7507A"/>
    <w:rsid w:val="00F76206"/>
    <w:rsid w:val="00FA5C1F"/>
    <w:rsid w:val="00FB0266"/>
    <w:rsid w:val="00FB52CC"/>
    <w:rsid w:val="00FD5FA1"/>
    <w:rsid w:val="00FD7538"/>
    <w:rsid w:val="00FE55C6"/>
    <w:rsid w:val="00FF5809"/>
    <w:rsid w:val="0CF55DA3"/>
    <w:rsid w:val="12B47B6F"/>
    <w:rsid w:val="23AF0249"/>
    <w:rsid w:val="5D61318E"/>
    <w:rsid w:val="6B8736D1"/>
    <w:rsid w:val="7CF657F5"/>
    <w:rsid w:val="7E03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jc w:val="both"/>
      <w:textAlignment w:val="baseline"/>
    </w:pPr>
    <w:rPr>
      <w:rFonts w:ascii="微软雅黑" w:hAnsi="微软雅黑" w:eastAsia="微软雅黑" w:cs="Times New Roman"/>
      <w:sz w:val="24"/>
      <w:lang w:val="en-US" w:eastAsia="zh-CN" w:bidi="ar-SA"/>
    </w:rPr>
  </w:style>
  <w:style w:type="paragraph" w:styleId="2">
    <w:name w:val="heading 1"/>
    <w:basedOn w:val="1"/>
    <w:next w:val="1"/>
    <w:link w:val="18"/>
    <w:qFormat/>
    <w:uiPriority w:val="9"/>
    <w:pPr>
      <w:keepNext/>
      <w:keepLines/>
      <w:numPr>
        <w:ilvl w:val="0"/>
        <w:numId w:val="1"/>
      </w:numPr>
      <w:adjustRightInd/>
      <w:spacing w:before="120" w:line="240" w:lineRule="auto"/>
      <w:textAlignment w:val="auto"/>
      <w:outlineLvl w:val="0"/>
    </w:pPr>
    <w:rPr>
      <w:rFonts w:asciiTheme="minorEastAsia" w:hAnsiTheme="minorEastAsia" w:eastAsiaTheme="minorEastAsia"/>
      <w:bCs/>
      <w:sz w:val="28"/>
      <w:szCs w:val="28"/>
    </w:rPr>
  </w:style>
  <w:style w:type="paragraph" w:styleId="3">
    <w:name w:val="heading 2"/>
    <w:basedOn w:val="1"/>
    <w:next w:val="1"/>
    <w:link w:val="19"/>
    <w:unhideWhenUsed/>
    <w:qFormat/>
    <w:uiPriority w:val="0"/>
    <w:pPr>
      <w:keepNext/>
      <w:keepLines/>
      <w:widowControl/>
      <w:adjustRightInd/>
      <w:spacing w:line="240" w:lineRule="auto"/>
      <w:jc w:val="left"/>
      <w:textAlignment w:val="auto"/>
      <w:outlineLvl w:val="1"/>
    </w:pPr>
    <w:rPr>
      <w:rFonts w:ascii="宋体" w:hAnsi="宋体" w:eastAsia="宋体"/>
      <w:bCs/>
      <w:sz w:val="28"/>
      <w:szCs w:val="28"/>
    </w:rPr>
  </w:style>
  <w:style w:type="paragraph" w:styleId="4">
    <w:name w:val="heading 3"/>
    <w:basedOn w:val="1"/>
    <w:next w:val="1"/>
    <w:link w:val="20"/>
    <w:unhideWhenUsed/>
    <w:qFormat/>
    <w:uiPriority w:val="9"/>
    <w:pPr>
      <w:keepNext/>
      <w:keepLines/>
      <w:spacing w:before="40"/>
      <w:outlineLvl w:val="2"/>
    </w:pPr>
    <w:rPr>
      <w:rFonts w:asciiTheme="majorHAnsi" w:hAnsiTheme="majorHAnsi" w:eastAsiaTheme="majorEastAsia" w:cstheme="majorBidi"/>
      <w:b/>
      <w:color w:val="000000" w:themeColor="text1"/>
      <w:spacing w:val="-20"/>
      <w:sz w:val="32"/>
      <w:szCs w:val="24"/>
    </w:rPr>
  </w:style>
  <w:style w:type="paragraph" w:styleId="5">
    <w:name w:val="heading 4"/>
    <w:basedOn w:val="1"/>
    <w:next w:val="1"/>
    <w:link w:val="21"/>
    <w:unhideWhenUsed/>
    <w:qFormat/>
    <w:uiPriority w:val="9"/>
    <w:pPr>
      <w:keepNext/>
      <w:keepLines/>
      <w:spacing w:before="40"/>
      <w:outlineLvl w:val="3"/>
    </w:pPr>
    <w:rPr>
      <w:rFonts w:asciiTheme="majorHAnsi" w:hAnsiTheme="majorHAnsi" w:eastAsiaTheme="majorEastAsia" w:cstheme="majorBidi"/>
      <w:b/>
      <w:iCs/>
      <w:color w:val="000000" w:themeColor="text1"/>
      <w:spacing w:val="-20"/>
      <w:sz w:val="28"/>
    </w:rPr>
  </w:style>
  <w:style w:type="paragraph" w:styleId="6">
    <w:name w:val="heading 5"/>
    <w:basedOn w:val="1"/>
    <w:next w:val="1"/>
    <w:link w:val="22"/>
    <w:unhideWhenUsed/>
    <w:qFormat/>
    <w:uiPriority w:val="9"/>
    <w:pPr>
      <w:keepNext/>
      <w:keepLines/>
      <w:widowControl/>
      <w:numPr>
        <w:ilvl w:val="4"/>
        <w:numId w:val="1"/>
      </w:numPr>
      <w:adjustRightInd/>
      <w:spacing w:before="280" w:after="290" w:line="376" w:lineRule="auto"/>
      <w:jc w:val="left"/>
      <w:textAlignment w:val="auto"/>
      <w:outlineLvl w:val="4"/>
    </w:pPr>
    <w:rPr>
      <w:rFonts w:asciiTheme="majorHAnsi" w:hAnsiTheme="majorHAnsi" w:eastAsiaTheme="majorEastAsia" w:cstheme="majorBidi"/>
      <w:b/>
      <w:color w:val="000000" w:themeColor="text1"/>
      <w:spacing w:val="-20"/>
    </w:rPr>
  </w:style>
  <w:style w:type="character" w:default="1" w:styleId="12">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31"/>
    <w:uiPriority w:val="0"/>
    <w:pPr>
      <w:adjustRightInd/>
      <w:spacing w:before="60" w:after="60" w:line="300" w:lineRule="auto"/>
      <w:ind w:firstLine="510"/>
      <w:textAlignment w:val="auto"/>
    </w:pPr>
    <w:rPr>
      <w:rFonts w:ascii="Times New Roman" w:hAnsi="Times New Roman" w:eastAsia="宋体"/>
      <w:spacing w:val="10"/>
      <w:szCs w:val="24"/>
      <w:lang w:val="zh-CN"/>
    </w:rPr>
  </w:style>
  <w:style w:type="paragraph" w:styleId="8">
    <w:name w:val="Balloon Text"/>
    <w:basedOn w:val="1"/>
    <w:link w:val="34"/>
    <w:semiHidden/>
    <w:unhideWhenUsed/>
    <w:uiPriority w:val="99"/>
    <w:pPr>
      <w:spacing w:line="240" w:lineRule="auto"/>
    </w:pPr>
    <w:rPr>
      <w:sz w:val="18"/>
      <w:szCs w:val="18"/>
    </w:rPr>
  </w:style>
  <w:style w:type="paragraph" w:styleId="9">
    <w:name w:val="footer"/>
    <w:basedOn w:val="1"/>
    <w:link w:val="16"/>
    <w:unhideWhenUsed/>
    <w:uiPriority w:val="99"/>
    <w:pPr>
      <w:tabs>
        <w:tab w:val="center" w:pos="4320"/>
        <w:tab w:val="right" w:pos="8640"/>
      </w:tabs>
      <w:adjustRightInd/>
      <w:spacing w:line="240" w:lineRule="auto"/>
      <w:textAlignment w:val="auto"/>
    </w:pPr>
    <w:rPr>
      <w:rFonts w:asciiTheme="minorHAnsi" w:hAnsiTheme="minorHAnsi" w:eastAsiaTheme="minorEastAsia" w:cstheme="minorBidi"/>
      <w:kern w:val="2"/>
      <w:sz w:val="21"/>
      <w:szCs w:val="22"/>
    </w:rPr>
  </w:style>
  <w:style w:type="paragraph" w:styleId="10">
    <w:name w:val="header"/>
    <w:basedOn w:val="1"/>
    <w:link w:val="15"/>
    <w:unhideWhenUsed/>
    <w:qFormat/>
    <w:uiPriority w:val="99"/>
    <w:pPr>
      <w:tabs>
        <w:tab w:val="center" w:pos="4320"/>
        <w:tab w:val="right" w:pos="8640"/>
      </w:tabs>
      <w:adjustRightInd/>
      <w:spacing w:line="240" w:lineRule="auto"/>
      <w:textAlignment w:val="auto"/>
    </w:pPr>
    <w:rPr>
      <w:rFonts w:asciiTheme="minorHAnsi" w:hAnsiTheme="minorHAnsi" w:eastAsiaTheme="minorEastAsia" w:cstheme="minorBidi"/>
      <w:kern w:val="2"/>
      <w:sz w:val="21"/>
      <w:szCs w:val="22"/>
    </w:rPr>
  </w:style>
  <w:style w:type="paragraph" w:styleId="11">
    <w:name w:val="Title"/>
    <w:basedOn w:val="1"/>
    <w:next w:val="1"/>
    <w:link w:val="17"/>
    <w:qFormat/>
    <w:uiPriority w:val="10"/>
    <w:pPr>
      <w:spacing w:line="240" w:lineRule="auto"/>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12"/>
    <w:link w:val="10"/>
    <w:qFormat/>
    <w:uiPriority w:val="99"/>
  </w:style>
  <w:style w:type="character" w:customStyle="1" w:styleId="16">
    <w:name w:val="页脚 字符"/>
    <w:basedOn w:val="12"/>
    <w:link w:val="9"/>
    <w:qFormat/>
    <w:uiPriority w:val="99"/>
  </w:style>
  <w:style w:type="character" w:customStyle="1" w:styleId="17">
    <w:name w:val="标题 字符"/>
    <w:basedOn w:val="12"/>
    <w:link w:val="11"/>
    <w:qFormat/>
    <w:uiPriority w:val="10"/>
    <w:rPr>
      <w:rFonts w:asciiTheme="majorHAnsi" w:hAnsiTheme="majorHAnsi" w:eastAsiaTheme="majorEastAsia" w:cstheme="majorBidi"/>
      <w:spacing w:val="-10"/>
      <w:kern w:val="28"/>
      <w:sz w:val="56"/>
      <w:szCs w:val="56"/>
    </w:rPr>
  </w:style>
  <w:style w:type="character" w:customStyle="1" w:styleId="18">
    <w:name w:val="标题 1 字符"/>
    <w:basedOn w:val="12"/>
    <w:link w:val="2"/>
    <w:uiPriority w:val="9"/>
    <w:rPr>
      <w:rFonts w:cs="Times New Roman" w:asciiTheme="minorEastAsia" w:hAnsiTheme="minorEastAsia"/>
      <w:bCs/>
      <w:kern w:val="0"/>
      <w:sz w:val="28"/>
      <w:szCs w:val="28"/>
    </w:rPr>
  </w:style>
  <w:style w:type="character" w:customStyle="1" w:styleId="19">
    <w:name w:val="标题 2 字符"/>
    <w:basedOn w:val="12"/>
    <w:link w:val="3"/>
    <w:qFormat/>
    <w:uiPriority w:val="0"/>
    <w:rPr>
      <w:rFonts w:ascii="宋体" w:hAnsi="宋体" w:eastAsia="宋体" w:cs="Times New Roman"/>
      <w:bCs/>
      <w:kern w:val="0"/>
      <w:sz w:val="28"/>
      <w:szCs w:val="28"/>
    </w:rPr>
  </w:style>
  <w:style w:type="character" w:customStyle="1" w:styleId="20">
    <w:name w:val="标题 3 字符"/>
    <w:basedOn w:val="12"/>
    <w:link w:val="4"/>
    <w:qFormat/>
    <w:uiPriority w:val="9"/>
    <w:rPr>
      <w:rFonts w:asciiTheme="majorHAnsi" w:hAnsiTheme="majorHAnsi" w:eastAsiaTheme="majorEastAsia" w:cstheme="majorBidi"/>
      <w:b/>
      <w:color w:val="000000" w:themeColor="text1"/>
      <w:spacing w:val="-20"/>
      <w:kern w:val="0"/>
      <w:sz w:val="32"/>
      <w:szCs w:val="24"/>
    </w:rPr>
  </w:style>
  <w:style w:type="character" w:customStyle="1" w:styleId="21">
    <w:name w:val="标题 4 字符"/>
    <w:basedOn w:val="12"/>
    <w:link w:val="5"/>
    <w:qFormat/>
    <w:uiPriority w:val="9"/>
    <w:rPr>
      <w:rFonts w:asciiTheme="majorHAnsi" w:hAnsiTheme="majorHAnsi" w:eastAsiaTheme="majorEastAsia" w:cstheme="majorBidi"/>
      <w:b/>
      <w:iCs/>
      <w:color w:val="000000" w:themeColor="text1"/>
      <w:spacing w:val="-20"/>
      <w:kern w:val="0"/>
      <w:sz w:val="28"/>
      <w:szCs w:val="20"/>
    </w:rPr>
  </w:style>
  <w:style w:type="character" w:customStyle="1" w:styleId="22">
    <w:name w:val="标题 5 字符"/>
    <w:basedOn w:val="12"/>
    <w:link w:val="6"/>
    <w:qFormat/>
    <w:uiPriority w:val="9"/>
    <w:rPr>
      <w:rFonts w:asciiTheme="majorHAnsi" w:hAnsiTheme="majorHAnsi" w:eastAsiaTheme="majorEastAsia" w:cstheme="majorBidi"/>
      <w:b/>
      <w:color w:val="000000" w:themeColor="text1"/>
      <w:spacing w:val="-20"/>
      <w:kern w:val="0"/>
      <w:sz w:val="24"/>
      <w:szCs w:val="20"/>
    </w:rPr>
  </w:style>
  <w:style w:type="paragraph" w:styleId="23">
    <w:name w:val="List Paragraph"/>
    <w:basedOn w:val="1"/>
    <w:qFormat/>
    <w:uiPriority w:val="34"/>
    <w:pPr>
      <w:ind w:left="720"/>
      <w:contextualSpacing/>
    </w:pPr>
  </w:style>
  <w:style w:type="paragraph" w:customStyle="1" w:styleId="24">
    <w:name w:val="Table Paragraph"/>
    <w:basedOn w:val="1"/>
    <w:qFormat/>
    <w:uiPriority w:val="1"/>
    <w:pPr>
      <w:jc w:val="left"/>
    </w:pPr>
    <w:rPr>
      <w:rFonts w:ascii="Calibri" w:hAnsi="Calibri" w:eastAsia="宋体"/>
      <w:sz w:val="22"/>
      <w:lang w:eastAsia="en-US"/>
    </w:rPr>
  </w:style>
  <w:style w:type="paragraph" w:customStyle="1" w:styleId="25">
    <w:name w:val="标书正文"/>
    <w:basedOn w:val="1"/>
    <w:link w:val="26"/>
    <w:qFormat/>
    <w:uiPriority w:val="0"/>
    <w:pPr>
      <w:widowControl/>
      <w:adjustRightInd/>
      <w:spacing w:line="360" w:lineRule="auto"/>
      <w:ind w:firstLine="200" w:firstLineChars="200"/>
      <w:jc w:val="left"/>
      <w:textAlignment w:val="auto"/>
    </w:pPr>
    <w:rPr>
      <w:rFonts w:ascii="Times New Roman" w:hAnsi="Times New Roman" w:eastAsia="宋体" w:cs="宋体"/>
    </w:rPr>
  </w:style>
  <w:style w:type="character" w:customStyle="1" w:styleId="26">
    <w:name w:val="标书正文 Char"/>
    <w:basedOn w:val="12"/>
    <w:link w:val="25"/>
    <w:qFormat/>
    <w:uiPriority w:val="0"/>
    <w:rPr>
      <w:rFonts w:ascii="Times New Roman" w:hAnsi="Times New Roman" w:eastAsia="宋体" w:cs="宋体"/>
      <w:kern w:val="0"/>
      <w:sz w:val="24"/>
      <w:szCs w:val="20"/>
    </w:rPr>
  </w:style>
  <w:style w:type="paragraph" w:customStyle="1" w:styleId="27">
    <w:name w:val="列出段落1"/>
    <w:basedOn w:val="1"/>
    <w:qFormat/>
    <w:uiPriority w:val="0"/>
    <w:pPr>
      <w:widowControl/>
      <w:adjustRightInd/>
      <w:spacing w:line="240" w:lineRule="auto"/>
      <w:ind w:firstLine="420" w:firstLineChars="200"/>
      <w:jc w:val="left"/>
      <w:textAlignment w:val="auto"/>
    </w:pPr>
    <w:rPr>
      <w:rFonts w:ascii="Cambria" w:hAnsi="Cambria"/>
      <w:color w:val="595959"/>
      <w:kern w:val="20"/>
      <w:sz w:val="21"/>
      <w:lang w:val="zh-CN"/>
    </w:rPr>
  </w:style>
  <w:style w:type="character" w:customStyle="1" w:styleId="28">
    <w:name w:val="QB正文 Char"/>
    <w:link w:val="29"/>
    <w:qFormat/>
    <w:uiPriority w:val="0"/>
    <w:rPr>
      <w:rFonts w:ascii="宋体" w:hAnsi="宋体" w:eastAsia="宋体" w:cs="仿宋"/>
      <w:kern w:val="0"/>
      <w:sz w:val="24"/>
      <w:szCs w:val="24"/>
      <w:lang w:val="en-GB"/>
    </w:rPr>
  </w:style>
  <w:style w:type="paragraph" w:customStyle="1" w:styleId="29">
    <w:name w:val="QB正文"/>
    <w:basedOn w:val="1"/>
    <w:link w:val="28"/>
    <w:qFormat/>
    <w:uiPriority w:val="0"/>
    <w:pPr>
      <w:adjustRightInd/>
      <w:spacing w:line="360" w:lineRule="auto"/>
      <w:ind w:firstLine="480" w:firstLineChars="200"/>
      <w:textAlignment w:val="auto"/>
    </w:pPr>
    <w:rPr>
      <w:rFonts w:ascii="宋体" w:hAnsi="宋体" w:eastAsia="宋体" w:cs="仿宋"/>
      <w:szCs w:val="24"/>
      <w:lang w:val="en-GB"/>
    </w:rPr>
  </w:style>
  <w:style w:type="paragraph" w:customStyle="1" w:styleId="30">
    <w:name w:val="_Style 27"/>
    <w:basedOn w:val="1"/>
    <w:next w:val="23"/>
    <w:qFormat/>
    <w:uiPriority w:val="0"/>
    <w:pPr>
      <w:adjustRightInd/>
      <w:spacing w:line="240" w:lineRule="auto"/>
      <w:ind w:firstLine="420" w:firstLineChars="200"/>
      <w:textAlignment w:val="auto"/>
    </w:pPr>
    <w:rPr>
      <w:rFonts w:ascii="Calibri" w:hAnsi="Calibri" w:eastAsia="宋体"/>
      <w:kern w:val="2"/>
      <w:sz w:val="21"/>
      <w:szCs w:val="22"/>
    </w:rPr>
  </w:style>
  <w:style w:type="character" w:customStyle="1" w:styleId="31">
    <w:name w:val="正文缩进 字符"/>
    <w:link w:val="7"/>
    <w:qFormat/>
    <w:uiPriority w:val="0"/>
    <w:rPr>
      <w:rFonts w:ascii="Times New Roman" w:hAnsi="Times New Roman" w:eastAsia="宋体" w:cs="Times New Roman"/>
      <w:spacing w:val="10"/>
      <w:kern w:val="0"/>
      <w:sz w:val="24"/>
      <w:szCs w:val="24"/>
      <w:lang w:val="zh-CN" w:eastAsia="zh-CN"/>
    </w:rPr>
  </w:style>
  <w:style w:type="paragraph" w:customStyle="1" w:styleId="32">
    <w:name w:val="Block Text2"/>
    <w:basedOn w:val="1"/>
    <w:qFormat/>
    <w:uiPriority w:val="0"/>
    <w:pPr>
      <w:overflowPunct w:val="0"/>
      <w:autoSpaceDE w:val="0"/>
      <w:autoSpaceDN w:val="0"/>
      <w:spacing w:line="240" w:lineRule="auto"/>
    </w:pPr>
    <w:rPr>
      <w:rFonts w:ascii="Calibri" w:hAnsi="Calibri" w:eastAsia="宋体"/>
      <w:kern w:val="2"/>
      <w:szCs w:val="22"/>
    </w:rPr>
  </w:style>
  <w:style w:type="paragraph" w:customStyle="1" w:styleId="33">
    <w:name w:val="GEDI正文样式"/>
    <w:basedOn w:val="1"/>
    <w:qFormat/>
    <w:uiPriority w:val="0"/>
    <w:pPr>
      <w:snapToGrid w:val="0"/>
      <w:spacing w:line="480" w:lineRule="atLeast"/>
      <w:ind w:firstLine="480" w:firstLineChars="200"/>
      <w:textAlignment w:val="auto"/>
    </w:pPr>
    <w:rPr>
      <w:rFonts w:ascii="Times New Roman" w:hAnsi="Times New Roman" w:eastAsia="宋体"/>
      <w:kern w:val="2"/>
      <w:szCs w:val="24"/>
    </w:rPr>
  </w:style>
  <w:style w:type="character" w:customStyle="1" w:styleId="34">
    <w:name w:val="批注框文本 字符"/>
    <w:basedOn w:val="12"/>
    <w:link w:val="8"/>
    <w:semiHidden/>
    <w:qFormat/>
    <w:uiPriority w:val="99"/>
    <w:rPr>
      <w:rFonts w:ascii="微软雅黑" w:hAnsi="微软雅黑" w:eastAsia="微软雅黑"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623EF-0060-40F8-B2B7-E515D71F481F}">
  <ds:schemaRefs/>
</ds:datastoreItem>
</file>

<file path=docProps/app.xml><?xml version="1.0" encoding="utf-8"?>
<Properties xmlns="http://schemas.openxmlformats.org/officeDocument/2006/extended-properties" xmlns:vt="http://schemas.openxmlformats.org/officeDocument/2006/docPropsVTypes">
  <Template>Normal</Template>
  <Pages>13</Pages>
  <Words>901</Words>
  <Characters>5138</Characters>
  <Lines>42</Lines>
  <Paragraphs>12</Paragraphs>
  <TotalTime>9</TotalTime>
  <ScaleCrop>false</ScaleCrop>
  <LinksUpToDate>false</LinksUpToDate>
  <CharactersWithSpaces>6027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2021-11-05T02:11:00Z</dcterms:created>
  <dc:creator>wangxt</dc:creator>
  <cp:lastModifiedBy>qingliping</cp:lastModifiedBy>
  <dcterms:modified xsi:type="dcterms:W3CDTF">2022-01-07T00:46:16Z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