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6"/>
        <w:jc w:val="center"/>
        <w:rPr>
          <w:rFonts w:ascii="Times New Roman" w:hAnsi="Times New Roman" w:eastAsia="宋体"/>
          <w:highlight w:val="none"/>
          <w:lang w:eastAsia="zh-CN"/>
        </w:rPr>
      </w:pPr>
      <w:r>
        <w:rPr>
          <w:rFonts w:ascii="Times New Roman" w:hAnsi="Times New Roman" w:eastAsia="宋体"/>
          <w:highlight w:val="none"/>
          <w:lang w:eastAsia="zh-CN"/>
        </w:rPr>
        <w:t>招标公告</w:t>
      </w:r>
    </w:p>
    <w:p>
      <w:pPr>
        <w:tabs>
          <w:tab w:val="left" w:pos="1118"/>
        </w:tabs>
        <w:spacing w:line="360" w:lineRule="auto"/>
        <w:jc w:val="center"/>
        <w:rPr>
          <w:rFonts w:ascii="Times New Roman" w:hAnsi="Times New Roman" w:cs="Times New Roman"/>
          <w:highlight w:val="none"/>
          <w:u w:val="single"/>
          <w:lang w:eastAsia="zh-CN"/>
        </w:rPr>
      </w:pPr>
      <w:r>
        <w:rPr>
          <w:rFonts w:hint="eastAsia" w:ascii="Times New Roman" w:hAnsi="Times New Roman" w:cs="Times New Roman"/>
          <w:sz w:val="28"/>
          <w:highlight w:val="none"/>
          <w:lang w:eastAsia="zh-CN"/>
        </w:rPr>
        <w:t>中核龙瑞科技有限公司柴油采购项目</w:t>
      </w:r>
      <w:r>
        <w:rPr>
          <w:rFonts w:ascii="Times New Roman" w:hAnsi="Times New Roman" w:cs="Times New Roman"/>
          <w:sz w:val="28"/>
          <w:highlight w:val="none"/>
          <w:lang w:eastAsia="zh-CN"/>
        </w:rPr>
        <w:t>招标公告</w:t>
      </w:r>
    </w:p>
    <w:p>
      <w:pPr>
        <w:pStyle w:val="5"/>
        <w:spacing w:line="360" w:lineRule="auto"/>
        <w:ind w:left="0" w:right="0"/>
        <w:rPr>
          <w:rFonts w:ascii="Times New Roman" w:hAnsi="Times New Roman" w:eastAsia="宋体"/>
          <w:sz w:val="28"/>
          <w:szCs w:val="28"/>
          <w:highlight w:val="none"/>
          <w:lang w:eastAsia="zh-CN"/>
        </w:rPr>
      </w:pPr>
      <w:bookmarkStart w:id="0" w:name="_bookmark2"/>
      <w:bookmarkEnd w:id="0"/>
      <w:bookmarkStart w:id="1" w:name="_Toc8113"/>
      <w:bookmarkStart w:id="2" w:name="_Toc7793"/>
      <w:r>
        <w:rPr>
          <w:rFonts w:ascii="Times New Roman" w:hAnsi="Times New Roman" w:eastAsia="宋体"/>
          <w:sz w:val="28"/>
          <w:szCs w:val="28"/>
          <w:highlight w:val="none"/>
          <w:lang w:eastAsia="zh-CN"/>
        </w:rPr>
        <w:t>1. 招标条件</w:t>
      </w:r>
      <w:bookmarkEnd w:id="1"/>
      <w:bookmarkEnd w:id="2"/>
    </w:p>
    <w:p>
      <w:pPr>
        <w:pStyle w:val="3"/>
        <w:tabs>
          <w:tab w:val="left" w:pos="2388"/>
          <w:tab w:val="left" w:pos="2832"/>
          <w:tab w:val="left" w:pos="3472"/>
          <w:tab w:val="left" w:pos="6667"/>
          <w:tab w:val="left" w:pos="7270"/>
        </w:tabs>
        <w:ind w:firstLine="420"/>
        <w:jc w:val="both"/>
        <w:rPr>
          <w:sz w:val="12"/>
          <w:highlight w:val="none"/>
          <w:lang w:eastAsia="zh-CN"/>
        </w:rPr>
      </w:pPr>
      <w:r>
        <w:rPr>
          <w:highlight w:val="none"/>
          <w:lang w:eastAsia="zh-CN"/>
        </w:rPr>
        <w:t>本招标项目</w:t>
      </w:r>
      <w:r>
        <w:rPr>
          <w:highlight w:val="none"/>
          <w:u w:val="single"/>
          <w:lang w:eastAsia="zh-CN"/>
        </w:rPr>
        <w:t xml:space="preserve"> </w:t>
      </w:r>
      <w:r>
        <w:rPr>
          <w:rFonts w:hint="eastAsia"/>
          <w:highlight w:val="none"/>
          <w:u w:val="single"/>
          <w:lang w:eastAsia="zh-CN"/>
        </w:rPr>
        <w:t>中核龙瑞科技有限公司柴油采购项目</w:t>
      </w:r>
      <w:r>
        <w:rPr>
          <w:highlight w:val="none"/>
          <w:lang w:eastAsia="zh-CN"/>
        </w:rPr>
        <w:t>（招标编号：</w:t>
      </w:r>
      <w:r>
        <w:rPr>
          <w:rFonts w:ascii="微软雅黑" w:hAnsi="微软雅黑" w:eastAsia="微软雅黑" w:cs="微软雅黑"/>
          <w:b/>
          <w:i w:val="0"/>
          <w:caps w:val="0"/>
          <w:color w:val="4A86CF"/>
          <w:spacing w:val="0"/>
          <w:sz w:val="22"/>
          <w:szCs w:val="22"/>
          <w:u w:val="none"/>
          <w:shd w:val="clear" w:color="auto" w:fill="FFFFFF"/>
        </w:rPr>
        <w:fldChar w:fldCharType="begin"/>
      </w:r>
      <w:r>
        <w:rPr>
          <w:rFonts w:ascii="微软雅黑" w:hAnsi="微软雅黑" w:eastAsia="微软雅黑" w:cs="微软雅黑"/>
          <w:b/>
          <w:i w:val="0"/>
          <w:caps w:val="0"/>
          <w:color w:val="4A86CF"/>
          <w:spacing w:val="0"/>
          <w:sz w:val="22"/>
          <w:szCs w:val="22"/>
          <w:u w:val="none"/>
          <w:shd w:val="clear" w:color="auto" w:fill="FFFFFF"/>
        </w:rPr>
        <w:instrText xml:space="preserve"> HYPERLINK "https://www.cnncecp.com/jypt/eps/wf/ywlc/dqgz/TaskTitle,$DirectLink.sdirect?sp=Sff8080817e05bc48017e05d30fbf0148" </w:instrText>
      </w:r>
      <w:r>
        <w:rPr>
          <w:rFonts w:ascii="微软雅黑" w:hAnsi="微软雅黑" w:eastAsia="微软雅黑" w:cs="微软雅黑"/>
          <w:b/>
          <w:i w:val="0"/>
          <w:caps w:val="0"/>
          <w:color w:val="4A86CF"/>
          <w:spacing w:val="0"/>
          <w:sz w:val="22"/>
          <w:szCs w:val="22"/>
          <w:u w:val="none"/>
          <w:shd w:val="clear" w:color="auto" w:fill="FFFFFF"/>
        </w:rPr>
        <w:fldChar w:fldCharType="separate"/>
      </w:r>
      <w:r>
        <w:rPr>
          <w:rFonts w:hint="eastAsia"/>
          <w:spacing w:val="-1"/>
          <w:highlight w:val="none"/>
          <w:lang w:eastAsia="zh-CN"/>
        </w:rPr>
        <w:t>404C-WZ-GKZB-21-2240</w:t>
      </w:r>
      <w:r>
        <w:rPr>
          <w:rFonts w:hint="eastAsia" w:ascii="微软雅黑" w:hAnsi="微软雅黑" w:eastAsia="微软雅黑" w:cs="微软雅黑"/>
          <w:b/>
          <w:i w:val="0"/>
          <w:caps w:val="0"/>
          <w:color w:val="4A86CF"/>
          <w:spacing w:val="0"/>
          <w:sz w:val="22"/>
          <w:szCs w:val="22"/>
          <w:u w:val="none"/>
          <w:shd w:val="clear" w:color="auto" w:fill="FFFFFF"/>
        </w:rPr>
        <w:fldChar w:fldCharType="end"/>
      </w:r>
      <w:r>
        <w:rPr>
          <w:highlight w:val="none"/>
          <w:lang w:eastAsia="zh-CN"/>
        </w:rPr>
        <w:t>），招标人为</w:t>
      </w:r>
      <w:r>
        <w:rPr>
          <w:highlight w:val="none"/>
          <w:u w:val="single"/>
          <w:lang w:eastAsia="zh-CN"/>
        </w:rPr>
        <w:t>中核四0四有限公司</w:t>
      </w:r>
      <w:r>
        <w:rPr>
          <w:rFonts w:hint="eastAsia"/>
          <w:highlight w:val="none"/>
          <w:u w:val="single"/>
          <w:lang w:eastAsia="zh-CN"/>
        </w:rPr>
        <w:t>（委托）</w:t>
      </w:r>
      <w:r>
        <w:rPr>
          <w:spacing w:val="-1"/>
          <w:highlight w:val="none"/>
          <w:lang w:eastAsia="zh-CN"/>
        </w:rPr>
        <w:t>，招标项目资金</w:t>
      </w:r>
      <w:r>
        <w:rPr>
          <w:highlight w:val="none"/>
          <w:lang w:eastAsia="zh-CN"/>
        </w:rPr>
        <w:t>来</w:t>
      </w:r>
      <w:r>
        <w:rPr>
          <w:spacing w:val="-1"/>
          <w:highlight w:val="none"/>
          <w:lang w:eastAsia="zh-CN"/>
        </w:rPr>
        <w:t>自</w:t>
      </w:r>
      <w:r>
        <w:rPr>
          <w:spacing w:val="-1"/>
          <w:highlight w:val="none"/>
          <w:u w:val="single"/>
          <w:lang w:eastAsia="zh-CN"/>
        </w:rPr>
        <w:t xml:space="preserve"> </w:t>
      </w:r>
      <w:r>
        <w:rPr>
          <w:rFonts w:hint="eastAsia"/>
          <w:highlight w:val="none"/>
          <w:u w:val="single"/>
          <w:lang w:eastAsia="zh-CN"/>
        </w:rPr>
        <w:t>国拨</w:t>
      </w:r>
      <w:r>
        <w:rPr>
          <w:highlight w:val="none"/>
          <w:u w:val="single"/>
          <w:lang w:eastAsia="zh-CN"/>
        </w:rPr>
        <w:t xml:space="preserve"> </w:t>
      </w:r>
      <w:r>
        <w:rPr>
          <w:highlight w:val="none"/>
          <w:lang w:eastAsia="zh-CN"/>
        </w:rPr>
        <w:t>（</w:t>
      </w:r>
      <w:r>
        <w:rPr>
          <w:spacing w:val="-3"/>
          <w:highlight w:val="none"/>
          <w:lang w:eastAsia="zh-CN"/>
        </w:rPr>
        <w:t>资</w:t>
      </w:r>
      <w:r>
        <w:rPr>
          <w:highlight w:val="none"/>
          <w:lang w:eastAsia="zh-CN"/>
        </w:rPr>
        <w:t>金</w:t>
      </w:r>
      <w:r>
        <w:rPr>
          <w:spacing w:val="-3"/>
          <w:highlight w:val="none"/>
          <w:lang w:eastAsia="zh-CN"/>
        </w:rPr>
        <w:t>来</w:t>
      </w:r>
      <w:r>
        <w:rPr>
          <w:highlight w:val="none"/>
          <w:lang w:eastAsia="zh-CN"/>
        </w:rPr>
        <w:t>源</w:t>
      </w:r>
      <w:r>
        <w:rPr>
          <w:spacing w:val="-108"/>
          <w:highlight w:val="none"/>
          <w:lang w:eastAsia="zh-CN"/>
        </w:rPr>
        <w:t>）</w:t>
      </w:r>
      <w:r>
        <w:rPr>
          <w:spacing w:val="-27"/>
          <w:highlight w:val="none"/>
          <w:lang w:eastAsia="zh-CN"/>
        </w:rPr>
        <w:t>，</w:t>
      </w:r>
      <w:r>
        <w:rPr>
          <w:highlight w:val="none"/>
          <w:lang w:eastAsia="zh-CN"/>
        </w:rPr>
        <w:t>出</w:t>
      </w:r>
      <w:r>
        <w:rPr>
          <w:spacing w:val="-3"/>
          <w:highlight w:val="none"/>
          <w:lang w:eastAsia="zh-CN"/>
        </w:rPr>
        <w:t>资</w:t>
      </w:r>
      <w:r>
        <w:rPr>
          <w:highlight w:val="none"/>
          <w:lang w:eastAsia="zh-CN"/>
        </w:rPr>
        <w:t>比</w:t>
      </w:r>
      <w:r>
        <w:rPr>
          <w:spacing w:val="-3"/>
          <w:highlight w:val="none"/>
          <w:lang w:eastAsia="zh-CN"/>
        </w:rPr>
        <w:t>例为</w:t>
      </w:r>
      <w:r>
        <w:rPr>
          <w:highlight w:val="none"/>
          <w:u w:val="single"/>
          <w:lang w:eastAsia="zh-CN"/>
        </w:rPr>
        <w:t>100%</w:t>
      </w:r>
      <w:r>
        <w:rPr>
          <w:spacing w:val="-27"/>
          <w:highlight w:val="none"/>
          <w:lang w:eastAsia="zh-CN"/>
        </w:rPr>
        <w:t>。</w:t>
      </w:r>
      <w:r>
        <w:rPr>
          <w:highlight w:val="none"/>
          <w:lang w:eastAsia="zh-CN"/>
        </w:rPr>
        <w:t>现对本项目进行国内公开招标。</w:t>
      </w:r>
    </w:p>
    <w:p>
      <w:pPr>
        <w:pStyle w:val="5"/>
        <w:spacing w:line="360" w:lineRule="auto"/>
        <w:ind w:left="0" w:right="0"/>
        <w:jc w:val="both"/>
        <w:rPr>
          <w:rFonts w:ascii="Times New Roman" w:hAnsi="Times New Roman" w:eastAsia="宋体"/>
          <w:sz w:val="28"/>
          <w:szCs w:val="28"/>
          <w:highlight w:val="none"/>
          <w:lang w:eastAsia="zh-CN"/>
        </w:rPr>
      </w:pPr>
      <w:bookmarkStart w:id="3" w:name="_bookmark3"/>
      <w:bookmarkEnd w:id="3"/>
      <w:r>
        <w:rPr>
          <w:rFonts w:ascii="Times New Roman" w:hAnsi="Times New Roman" w:eastAsia="宋体"/>
          <w:sz w:val="28"/>
          <w:szCs w:val="28"/>
          <w:highlight w:val="none"/>
          <w:lang w:eastAsia="zh-CN"/>
        </w:rPr>
        <w:t>2.</w:t>
      </w:r>
      <w:bookmarkStart w:id="4" w:name="_Toc18121"/>
      <w:bookmarkStart w:id="5" w:name="_Toc15806"/>
      <w:r>
        <w:rPr>
          <w:rFonts w:ascii="Times New Roman" w:hAnsi="Times New Roman" w:eastAsia="宋体"/>
          <w:sz w:val="28"/>
          <w:szCs w:val="28"/>
          <w:highlight w:val="none"/>
          <w:lang w:eastAsia="zh-CN"/>
        </w:rPr>
        <w:t xml:space="preserve"> 项目概况与招标范围</w:t>
      </w:r>
      <w:bookmarkEnd w:id="4"/>
      <w:bookmarkEnd w:id="5"/>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2.</w:t>
      </w:r>
      <w:r>
        <w:rPr>
          <w:rFonts w:hint="eastAsia"/>
          <w:highlight w:val="none"/>
          <w:lang w:eastAsia="zh-CN"/>
        </w:rPr>
        <w:t>1</w:t>
      </w:r>
      <w:r>
        <w:rPr>
          <w:highlight w:val="none"/>
          <w:lang w:eastAsia="zh-CN"/>
        </w:rPr>
        <w:t>交货期：</w:t>
      </w:r>
      <w:r>
        <w:rPr>
          <w:rFonts w:hint="eastAsia"/>
          <w:highlight w:val="none"/>
          <w:lang w:eastAsia="zh-CN"/>
        </w:rPr>
        <w:t>自合同签订盖章生效后按需供货。</w:t>
      </w:r>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2.</w:t>
      </w:r>
      <w:r>
        <w:rPr>
          <w:rFonts w:hint="eastAsia"/>
          <w:highlight w:val="none"/>
          <w:lang w:eastAsia="zh-CN"/>
        </w:rPr>
        <w:t>2</w:t>
      </w:r>
      <w:r>
        <w:rPr>
          <w:highlight w:val="none"/>
          <w:lang w:eastAsia="zh-CN"/>
        </w:rPr>
        <w:t>交货地点：</w:t>
      </w:r>
      <w:r>
        <w:rPr>
          <w:rFonts w:hint="eastAsia"/>
          <w:highlight w:val="none"/>
          <w:lang w:eastAsia="zh-CN"/>
        </w:rPr>
        <w:t>中核甘肃核技术产业园。</w:t>
      </w:r>
    </w:p>
    <w:p>
      <w:pPr>
        <w:pStyle w:val="3"/>
        <w:tabs>
          <w:tab w:val="left" w:pos="2388"/>
          <w:tab w:val="left" w:pos="2832"/>
          <w:tab w:val="left" w:pos="3472"/>
          <w:tab w:val="left" w:pos="6667"/>
          <w:tab w:val="left" w:pos="7270"/>
        </w:tabs>
        <w:ind w:firstLine="420"/>
        <w:rPr>
          <w:highlight w:val="none"/>
          <w:lang w:eastAsia="zh-CN"/>
        </w:rPr>
      </w:pPr>
      <w:r>
        <w:rPr>
          <w:highlight w:val="none"/>
          <w:lang w:eastAsia="zh-CN"/>
        </w:rPr>
        <w:t>2.</w:t>
      </w:r>
      <w:r>
        <w:rPr>
          <w:rFonts w:hint="eastAsia"/>
          <w:highlight w:val="none"/>
          <w:lang w:eastAsia="zh-CN"/>
        </w:rPr>
        <w:t>3</w:t>
      </w:r>
      <w:r>
        <w:rPr>
          <w:highlight w:val="none"/>
          <w:lang w:eastAsia="zh-CN"/>
        </w:rPr>
        <w:t xml:space="preserve"> 招标范围：</w:t>
      </w:r>
    </w:p>
    <w:p>
      <w:pPr>
        <w:pStyle w:val="3"/>
        <w:tabs>
          <w:tab w:val="left" w:pos="2388"/>
          <w:tab w:val="left" w:pos="2832"/>
          <w:tab w:val="left" w:pos="3472"/>
          <w:tab w:val="left" w:pos="6667"/>
          <w:tab w:val="left" w:pos="7270"/>
        </w:tabs>
        <w:ind w:firstLine="1260" w:firstLineChars="600"/>
        <w:rPr>
          <w:highlight w:val="none"/>
          <w:lang w:eastAsia="zh-CN"/>
        </w:rPr>
      </w:pPr>
    </w:p>
    <w:tbl>
      <w:tblPr>
        <w:tblStyle w:val="6"/>
        <w:tblW w:w="5000" w:type="pct"/>
        <w:jc w:val="center"/>
        <w:tblLayout w:type="fixed"/>
        <w:tblCellMar>
          <w:top w:w="0" w:type="dxa"/>
          <w:left w:w="108" w:type="dxa"/>
          <w:bottom w:w="0" w:type="dxa"/>
          <w:right w:w="108" w:type="dxa"/>
        </w:tblCellMar>
      </w:tblPr>
      <w:tblGrid>
        <w:gridCol w:w="666"/>
        <w:gridCol w:w="1038"/>
        <w:gridCol w:w="1406"/>
        <w:gridCol w:w="1731"/>
        <w:gridCol w:w="864"/>
        <w:gridCol w:w="1408"/>
        <w:gridCol w:w="1408"/>
      </w:tblGrid>
      <w:tr>
        <w:trPr>
          <w:trHeight w:val="7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highlight w:val="none"/>
              </w:rPr>
            </w:pPr>
            <w:r>
              <w:rPr>
                <w:rFonts w:hint="eastAsia"/>
                <w:color w:val="000000"/>
                <w:highlight w:val="none"/>
              </w:rPr>
              <w:t>序号</w:t>
            </w:r>
          </w:p>
        </w:tc>
        <w:tc>
          <w:tcPr>
            <w:tcW w:w="609" w:type="pct"/>
            <w:tcBorders>
              <w:top w:val="single" w:color="auto" w:sz="4" w:space="0"/>
              <w:left w:val="nil"/>
              <w:bottom w:val="single" w:color="auto" w:sz="4" w:space="0"/>
              <w:right w:val="single" w:color="auto" w:sz="4" w:space="0"/>
            </w:tcBorders>
            <w:noWrap w:val="0"/>
            <w:vAlign w:val="center"/>
          </w:tcPr>
          <w:p>
            <w:pPr>
              <w:jc w:val="center"/>
              <w:rPr>
                <w:color w:val="000000"/>
                <w:highlight w:val="none"/>
              </w:rPr>
            </w:pPr>
            <w:r>
              <w:rPr>
                <w:rFonts w:hint="eastAsia"/>
                <w:color w:val="000000"/>
                <w:highlight w:val="none"/>
              </w:rPr>
              <w:t>分包名称</w:t>
            </w:r>
          </w:p>
        </w:tc>
        <w:tc>
          <w:tcPr>
            <w:tcW w:w="825" w:type="pct"/>
            <w:tcBorders>
              <w:top w:val="single" w:color="auto" w:sz="4" w:space="0"/>
              <w:left w:val="nil"/>
              <w:bottom w:val="single" w:color="auto" w:sz="4" w:space="0"/>
              <w:right w:val="single" w:color="auto" w:sz="4" w:space="0"/>
            </w:tcBorders>
            <w:noWrap w:val="0"/>
            <w:vAlign w:val="center"/>
          </w:tcPr>
          <w:p>
            <w:pPr>
              <w:jc w:val="center"/>
              <w:rPr>
                <w:color w:val="000000"/>
                <w:highlight w:val="none"/>
              </w:rPr>
            </w:pPr>
            <w:r>
              <w:rPr>
                <w:rFonts w:ascii="Times New Roman" w:hAnsi="Times New Roman" w:cs="Times New Roman"/>
                <w:kern w:val="2"/>
                <w:sz w:val="21"/>
                <w:szCs w:val="21"/>
                <w:highlight w:val="none"/>
                <w:lang w:eastAsia="zh-CN" w:bidi="ar"/>
              </w:rPr>
              <w:t>货物名称</w:t>
            </w:r>
          </w:p>
        </w:tc>
        <w:tc>
          <w:tcPr>
            <w:tcW w:w="1016" w:type="pct"/>
            <w:tcBorders>
              <w:top w:val="single" w:color="auto" w:sz="4" w:space="0"/>
              <w:left w:val="nil"/>
              <w:bottom w:val="single" w:color="auto" w:sz="4" w:space="0"/>
              <w:right w:val="single" w:color="auto" w:sz="4" w:space="0"/>
            </w:tcBorders>
            <w:noWrap w:val="0"/>
            <w:vAlign w:val="center"/>
          </w:tcPr>
          <w:p>
            <w:pPr>
              <w:jc w:val="center"/>
              <w:rPr>
                <w:color w:val="000000"/>
                <w:highlight w:val="none"/>
                <w:lang w:eastAsia="zh-CN"/>
              </w:rPr>
            </w:pPr>
            <w:r>
              <w:rPr>
                <w:rFonts w:ascii="Times New Roman" w:hAnsi="Times New Roman" w:cs="Times New Roman"/>
                <w:kern w:val="2"/>
                <w:sz w:val="21"/>
                <w:szCs w:val="21"/>
                <w:highlight w:val="none"/>
                <w:lang w:eastAsia="zh-CN" w:bidi="ar"/>
              </w:rPr>
              <w:t>规格型号</w:t>
            </w:r>
          </w:p>
        </w:tc>
        <w:tc>
          <w:tcPr>
            <w:tcW w:w="507" w:type="pct"/>
            <w:tcBorders>
              <w:top w:val="single" w:color="auto" w:sz="4" w:space="0"/>
              <w:left w:val="nil"/>
              <w:bottom w:val="single" w:color="auto" w:sz="4" w:space="0"/>
              <w:right w:val="single" w:color="auto" w:sz="4" w:space="0"/>
            </w:tcBorders>
            <w:noWrap w:val="0"/>
            <w:vAlign w:val="center"/>
          </w:tcPr>
          <w:p>
            <w:pPr>
              <w:jc w:val="center"/>
              <w:rPr>
                <w:color w:val="000000"/>
                <w:highlight w:val="none"/>
              </w:rPr>
            </w:pPr>
            <w:r>
              <w:rPr>
                <w:rFonts w:ascii="Times New Roman" w:hAnsi="Times New Roman" w:cs="Times New Roman"/>
                <w:kern w:val="2"/>
                <w:sz w:val="21"/>
                <w:szCs w:val="21"/>
                <w:highlight w:val="none"/>
                <w:lang w:eastAsia="zh-CN" w:bidi="ar"/>
              </w:rPr>
              <w:t>单位</w:t>
            </w:r>
          </w:p>
        </w:tc>
        <w:tc>
          <w:tcPr>
            <w:tcW w:w="826" w:type="pct"/>
            <w:tcBorders>
              <w:top w:val="single" w:color="auto" w:sz="4" w:space="0"/>
              <w:left w:val="nil"/>
              <w:bottom w:val="single" w:color="auto" w:sz="4" w:space="0"/>
              <w:right w:val="single" w:color="auto" w:sz="4" w:space="0"/>
            </w:tcBorders>
            <w:noWrap w:val="0"/>
            <w:vAlign w:val="center"/>
          </w:tcPr>
          <w:p>
            <w:pPr>
              <w:jc w:val="center"/>
              <w:rPr>
                <w:color w:val="000000"/>
                <w:highlight w:val="none"/>
              </w:rPr>
            </w:pPr>
            <w:r>
              <w:rPr>
                <w:rFonts w:ascii="Times New Roman" w:hAnsi="Times New Roman" w:cs="Times New Roman"/>
                <w:kern w:val="2"/>
                <w:sz w:val="21"/>
                <w:szCs w:val="21"/>
                <w:highlight w:val="none"/>
                <w:lang w:eastAsia="zh-CN" w:bidi="ar"/>
              </w:rPr>
              <w:t>数量</w:t>
            </w:r>
          </w:p>
        </w:tc>
        <w:tc>
          <w:tcPr>
            <w:tcW w:w="826" w:type="pct"/>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kern w:val="2"/>
                <w:sz w:val="21"/>
                <w:szCs w:val="21"/>
                <w:highlight w:val="none"/>
                <w:lang w:eastAsia="zh-CN" w:bidi="ar"/>
              </w:rPr>
            </w:pPr>
            <w:r>
              <w:rPr>
                <w:rFonts w:hint="eastAsia" w:ascii="Times New Roman" w:hAnsi="Times New Roman" w:cs="Times New Roman"/>
                <w:kern w:val="2"/>
                <w:sz w:val="21"/>
                <w:szCs w:val="21"/>
                <w:highlight w:val="none"/>
                <w:lang w:eastAsia="zh-CN" w:bidi="ar"/>
              </w:rPr>
              <w:t>备注</w:t>
            </w:r>
          </w:p>
        </w:tc>
      </w:tr>
      <w:tr>
        <w:tblPrEx>
          <w:tblCellMar>
            <w:top w:w="0" w:type="dxa"/>
            <w:left w:w="108" w:type="dxa"/>
            <w:bottom w:w="0" w:type="dxa"/>
            <w:right w:w="108" w:type="dxa"/>
          </w:tblCellMar>
        </w:tblPrEx>
        <w:trPr>
          <w:trHeight w:val="585" w:hRule="atLeast"/>
          <w:jc w:val="center"/>
        </w:trPr>
        <w:tc>
          <w:tcPr>
            <w:tcW w:w="391" w:type="pct"/>
            <w:vMerge w:val="restart"/>
            <w:tcBorders>
              <w:top w:val="nil"/>
              <w:left w:val="single" w:color="auto" w:sz="4" w:space="0"/>
              <w:right w:val="single" w:color="auto" w:sz="4" w:space="0"/>
            </w:tcBorders>
            <w:noWrap/>
            <w:vAlign w:val="center"/>
          </w:tcPr>
          <w:p>
            <w:pPr>
              <w:jc w:val="center"/>
              <w:rPr>
                <w:color w:val="000000"/>
                <w:highlight w:val="none"/>
              </w:rPr>
            </w:pPr>
            <w:r>
              <w:rPr>
                <w:rFonts w:hint="eastAsia"/>
                <w:color w:val="000000"/>
                <w:highlight w:val="none"/>
              </w:rPr>
              <w:t>1</w:t>
            </w:r>
          </w:p>
        </w:tc>
        <w:tc>
          <w:tcPr>
            <w:tcW w:w="609" w:type="pct"/>
            <w:vMerge w:val="restart"/>
            <w:tcBorders>
              <w:top w:val="nil"/>
              <w:left w:val="nil"/>
              <w:right w:val="single" w:color="auto" w:sz="4" w:space="0"/>
            </w:tcBorders>
            <w:noWrap/>
            <w:vAlign w:val="center"/>
          </w:tcPr>
          <w:p>
            <w:pPr>
              <w:jc w:val="center"/>
              <w:rPr>
                <w:color w:val="000000"/>
                <w:highlight w:val="none"/>
              </w:rPr>
            </w:pPr>
            <w:r>
              <w:rPr>
                <w:rFonts w:hint="eastAsia"/>
                <w:color w:val="000000"/>
                <w:highlight w:val="none"/>
              </w:rPr>
              <w:t>第一包</w:t>
            </w:r>
          </w:p>
        </w:tc>
        <w:tc>
          <w:tcPr>
            <w:tcW w:w="825"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0号</w:t>
            </w:r>
          </w:p>
        </w:tc>
        <w:tc>
          <w:tcPr>
            <w:tcW w:w="1016"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0号含硫0.5% 柴油</w:t>
            </w:r>
          </w:p>
        </w:tc>
        <w:tc>
          <w:tcPr>
            <w:tcW w:w="507"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rPr>
              <w:t>吨</w:t>
            </w:r>
          </w:p>
        </w:tc>
        <w:tc>
          <w:tcPr>
            <w:tcW w:w="826" w:type="pct"/>
            <w:tcBorders>
              <w:top w:val="nil"/>
              <w:left w:val="nil"/>
              <w:bottom w:val="single" w:color="auto" w:sz="4" w:space="0"/>
              <w:right w:val="single" w:color="auto" w:sz="4" w:space="0"/>
            </w:tcBorders>
            <w:noWrap w:val="0"/>
            <w:vAlign w:val="center"/>
          </w:tcPr>
          <w:p>
            <w:pPr>
              <w:jc w:val="center"/>
              <w:rPr>
                <w:color w:val="000000"/>
                <w:highlight w:val="none"/>
              </w:rPr>
            </w:pPr>
            <w:r>
              <w:rPr>
                <w:rFonts w:hint="eastAsia" w:ascii="Times New Roman" w:hAnsi="Times New Roman" w:cs="Times New Roman"/>
                <w:kern w:val="2"/>
                <w:sz w:val="21"/>
                <w:szCs w:val="21"/>
                <w:highlight w:val="none"/>
                <w:lang w:eastAsia="zh-CN"/>
              </w:rPr>
              <w:t>2</w:t>
            </w:r>
          </w:p>
        </w:tc>
        <w:tc>
          <w:tcPr>
            <w:tcW w:w="826" w:type="pct"/>
            <w:tcBorders>
              <w:top w:val="nil"/>
              <w:left w:val="nil"/>
              <w:bottom w:val="single" w:color="auto" w:sz="4" w:space="0"/>
              <w:right w:val="single" w:color="auto" w:sz="4" w:space="0"/>
            </w:tcBorders>
            <w:noWrap w:val="0"/>
            <w:vAlign w:val="center"/>
          </w:tcPr>
          <w:p>
            <w:pPr>
              <w:jc w:val="center"/>
              <w:rPr>
                <w:rFonts w:hint="eastAsia" w:ascii="Times New Roman" w:hAnsi="Times New Roman" w:cs="Times New Roman"/>
                <w:kern w:val="2"/>
                <w:sz w:val="21"/>
                <w:szCs w:val="21"/>
                <w:highlight w:val="none"/>
                <w:lang w:eastAsia="zh-CN" w:bidi="ar"/>
              </w:rPr>
            </w:pPr>
          </w:p>
        </w:tc>
      </w:tr>
      <w:tr>
        <w:tblPrEx>
          <w:tblCellMar>
            <w:top w:w="0" w:type="dxa"/>
            <w:left w:w="108" w:type="dxa"/>
            <w:bottom w:w="0" w:type="dxa"/>
            <w:right w:w="108" w:type="dxa"/>
          </w:tblCellMar>
        </w:tblPrEx>
        <w:trPr>
          <w:trHeight w:val="585" w:hRule="atLeast"/>
          <w:jc w:val="center"/>
        </w:trPr>
        <w:tc>
          <w:tcPr>
            <w:tcW w:w="391" w:type="pct"/>
            <w:vMerge w:val="continue"/>
            <w:tcBorders>
              <w:left w:val="single" w:color="auto" w:sz="4" w:space="0"/>
              <w:right w:val="single" w:color="auto" w:sz="4" w:space="0"/>
            </w:tcBorders>
            <w:noWrap/>
            <w:vAlign w:val="center"/>
          </w:tcPr>
          <w:p>
            <w:pPr>
              <w:jc w:val="center"/>
              <w:rPr>
                <w:rFonts w:hint="eastAsia"/>
                <w:color w:val="000000"/>
                <w:highlight w:val="none"/>
              </w:rPr>
            </w:pPr>
          </w:p>
        </w:tc>
        <w:tc>
          <w:tcPr>
            <w:tcW w:w="609" w:type="pct"/>
            <w:vMerge w:val="continue"/>
            <w:tcBorders>
              <w:left w:val="nil"/>
              <w:right w:val="single" w:color="auto" w:sz="4" w:space="0"/>
            </w:tcBorders>
            <w:noWrap/>
            <w:vAlign w:val="center"/>
          </w:tcPr>
          <w:p>
            <w:pPr>
              <w:jc w:val="center"/>
              <w:rPr>
                <w:rFonts w:hint="eastAsia"/>
                <w:color w:val="000000"/>
                <w:highlight w:val="none"/>
              </w:rPr>
            </w:pPr>
          </w:p>
        </w:tc>
        <w:tc>
          <w:tcPr>
            <w:tcW w:w="825"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-10号</w:t>
            </w:r>
          </w:p>
        </w:tc>
        <w:tc>
          <w:tcPr>
            <w:tcW w:w="1016"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-10号含硫0.5% 车用柴油(Ⅴ)</w:t>
            </w:r>
          </w:p>
        </w:tc>
        <w:tc>
          <w:tcPr>
            <w:tcW w:w="507"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rPr>
              <w:t>吨</w:t>
            </w:r>
          </w:p>
        </w:tc>
        <w:tc>
          <w:tcPr>
            <w:tcW w:w="826" w:type="pct"/>
            <w:tcBorders>
              <w:top w:val="nil"/>
              <w:left w:val="nil"/>
              <w:bottom w:val="single" w:color="auto" w:sz="4" w:space="0"/>
              <w:right w:val="single" w:color="auto" w:sz="4" w:space="0"/>
            </w:tcBorders>
            <w:noWrap w:val="0"/>
            <w:vAlign w:val="center"/>
          </w:tcPr>
          <w:p>
            <w:pPr>
              <w:jc w:val="center"/>
              <w:rPr>
                <w:color w:val="000000"/>
                <w:highlight w:val="none"/>
              </w:rPr>
            </w:pPr>
            <w:r>
              <w:rPr>
                <w:rFonts w:hint="eastAsia" w:ascii="Times New Roman" w:hAnsi="Times New Roman" w:cs="Times New Roman"/>
                <w:kern w:val="2"/>
                <w:sz w:val="21"/>
                <w:szCs w:val="21"/>
                <w:highlight w:val="none"/>
                <w:lang w:eastAsia="zh-CN"/>
              </w:rPr>
              <w:t>188</w:t>
            </w:r>
          </w:p>
        </w:tc>
        <w:tc>
          <w:tcPr>
            <w:tcW w:w="826" w:type="pct"/>
            <w:tcBorders>
              <w:top w:val="nil"/>
              <w:left w:val="nil"/>
              <w:bottom w:val="single" w:color="auto" w:sz="4" w:space="0"/>
              <w:right w:val="single" w:color="auto" w:sz="4" w:space="0"/>
            </w:tcBorders>
            <w:noWrap w:val="0"/>
            <w:vAlign w:val="center"/>
          </w:tcPr>
          <w:p>
            <w:pPr>
              <w:jc w:val="center"/>
              <w:rPr>
                <w:rFonts w:hint="eastAsia" w:ascii="Times New Roman" w:hAnsi="Times New Roman" w:cs="Times New Roman"/>
                <w:kern w:val="2"/>
                <w:sz w:val="21"/>
                <w:szCs w:val="21"/>
                <w:highlight w:val="none"/>
                <w:lang w:eastAsia="zh-CN" w:bidi="ar"/>
              </w:rPr>
            </w:pPr>
          </w:p>
        </w:tc>
      </w:tr>
      <w:tr>
        <w:tblPrEx>
          <w:tblCellMar>
            <w:top w:w="0" w:type="dxa"/>
            <w:left w:w="108" w:type="dxa"/>
            <w:bottom w:w="0" w:type="dxa"/>
            <w:right w:w="108" w:type="dxa"/>
          </w:tblCellMar>
        </w:tblPrEx>
        <w:trPr>
          <w:trHeight w:val="585" w:hRule="atLeast"/>
          <w:jc w:val="center"/>
        </w:trPr>
        <w:tc>
          <w:tcPr>
            <w:tcW w:w="391" w:type="pct"/>
            <w:vMerge w:val="continue"/>
            <w:tcBorders>
              <w:left w:val="single" w:color="auto" w:sz="4" w:space="0"/>
              <w:bottom w:val="single" w:color="auto" w:sz="4" w:space="0"/>
              <w:right w:val="single" w:color="auto" w:sz="4" w:space="0"/>
            </w:tcBorders>
            <w:noWrap/>
            <w:vAlign w:val="center"/>
          </w:tcPr>
          <w:p>
            <w:pPr>
              <w:jc w:val="center"/>
              <w:rPr>
                <w:rFonts w:hint="eastAsia"/>
                <w:color w:val="000000"/>
                <w:highlight w:val="none"/>
              </w:rPr>
            </w:pPr>
          </w:p>
        </w:tc>
        <w:tc>
          <w:tcPr>
            <w:tcW w:w="609" w:type="pct"/>
            <w:vMerge w:val="continue"/>
            <w:tcBorders>
              <w:left w:val="nil"/>
              <w:bottom w:val="single" w:color="auto" w:sz="4" w:space="0"/>
              <w:right w:val="single" w:color="auto" w:sz="4" w:space="0"/>
            </w:tcBorders>
            <w:noWrap/>
            <w:vAlign w:val="center"/>
          </w:tcPr>
          <w:p>
            <w:pPr>
              <w:jc w:val="center"/>
              <w:rPr>
                <w:rFonts w:hint="eastAsia"/>
                <w:color w:val="000000"/>
                <w:highlight w:val="none"/>
              </w:rPr>
            </w:pPr>
          </w:p>
        </w:tc>
        <w:tc>
          <w:tcPr>
            <w:tcW w:w="825"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-35号</w:t>
            </w:r>
          </w:p>
        </w:tc>
        <w:tc>
          <w:tcPr>
            <w:tcW w:w="1016"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-35号车用柴油(Ⅴ)</w:t>
            </w:r>
          </w:p>
        </w:tc>
        <w:tc>
          <w:tcPr>
            <w:tcW w:w="507"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rPr>
              <w:t>吨</w:t>
            </w:r>
          </w:p>
        </w:tc>
        <w:tc>
          <w:tcPr>
            <w:tcW w:w="826" w:type="pct"/>
            <w:tcBorders>
              <w:top w:val="nil"/>
              <w:left w:val="nil"/>
              <w:bottom w:val="single" w:color="auto" w:sz="4" w:space="0"/>
              <w:right w:val="single" w:color="auto" w:sz="4" w:space="0"/>
            </w:tcBorders>
            <w:noWrap w:val="0"/>
            <w:vAlign w:val="center"/>
          </w:tcPr>
          <w:p>
            <w:pPr>
              <w:jc w:val="center"/>
              <w:rPr>
                <w:color w:val="000000"/>
                <w:highlight w:val="none"/>
              </w:rPr>
            </w:pPr>
            <w:r>
              <w:rPr>
                <w:rFonts w:hint="eastAsia" w:ascii="Times New Roman" w:hAnsi="Times New Roman" w:cs="Times New Roman"/>
                <w:kern w:val="2"/>
                <w:sz w:val="21"/>
                <w:szCs w:val="21"/>
                <w:highlight w:val="none"/>
                <w:lang w:eastAsia="zh-CN"/>
              </w:rPr>
              <w:t>19.2</w:t>
            </w:r>
          </w:p>
        </w:tc>
        <w:tc>
          <w:tcPr>
            <w:tcW w:w="826" w:type="pct"/>
            <w:tcBorders>
              <w:top w:val="nil"/>
              <w:left w:val="nil"/>
              <w:bottom w:val="single" w:color="auto" w:sz="4" w:space="0"/>
              <w:right w:val="single" w:color="auto" w:sz="4" w:space="0"/>
            </w:tcBorders>
            <w:noWrap w:val="0"/>
            <w:vAlign w:val="center"/>
          </w:tcPr>
          <w:p>
            <w:pPr>
              <w:jc w:val="center"/>
              <w:rPr>
                <w:rFonts w:hint="eastAsia" w:ascii="Times New Roman" w:hAnsi="Times New Roman" w:cs="Times New Roman"/>
                <w:kern w:val="2"/>
                <w:sz w:val="21"/>
                <w:szCs w:val="21"/>
                <w:highlight w:val="none"/>
                <w:lang w:eastAsia="zh-CN" w:bidi="ar"/>
              </w:rPr>
            </w:pPr>
          </w:p>
        </w:tc>
      </w:tr>
      <w:tr>
        <w:tblPrEx>
          <w:tblCellMar>
            <w:top w:w="0" w:type="dxa"/>
            <w:left w:w="108" w:type="dxa"/>
            <w:bottom w:w="0" w:type="dxa"/>
            <w:right w:w="108" w:type="dxa"/>
          </w:tblCellMar>
        </w:tblPrEx>
        <w:trPr>
          <w:trHeight w:val="565" w:hRule="atLeast"/>
          <w:jc w:val="center"/>
        </w:trPr>
        <w:tc>
          <w:tcPr>
            <w:tcW w:w="391" w:type="pct"/>
            <w:tcBorders>
              <w:top w:val="nil"/>
              <w:left w:val="single" w:color="auto" w:sz="4" w:space="0"/>
              <w:bottom w:val="single" w:color="auto" w:sz="4" w:space="0"/>
              <w:right w:val="single" w:color="auto" w:sz="4" w:space="0"/>
            </w:tcBorders>
            <w:noWrap/>
            <w:vAlign w:val="center"/>
          </w:tcPr>
          <w:p>
            <w:pPr>
              <w:jc w:val="center"/>
              <w:rPr>
                <w:color w:val="000000"/>
                <w:highlight w:val="none"/>
              </w:rPr>
            </w:pPr>
            <w:r>
              <w:rPr>
                <w:rFonts w:hint="eastAsia"/>
                <w:color w:val="000000"/>
                <w:highlight w:val="none"/>
              </w:rPr>
              <w:t>2</w:t>
            </w:r>
          </w:p>
        </w:tc>
        <w:tc>
          <w:tcPr>
            <w:tcW w:w="609"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color w:val="000000"/>
                <w:highlight w:val="none"/>
              </w:rPr>
              <w:t>第二包</w:t>
            </w:r>
          </w:p>
        </w:tc>
        <w:tc>
          <w:tcPr>
            <w:tcW w:w="825"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柴油</w:t>
            </w:r>
          </w:p>
        </w:tc>
        <w:tc>
          <w:tcPr>
            <w:tcW w:w="1016"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bidi="ar"/>
              </w:rPr>
              <w:t>-20号柴油</w:t>
            </w:r>
          </w:p>
        </w:tc>
        <w:tc>
          <w:tcPr>
            <w:tcW w:w="507" w:type="pct"/>
            <w:tcBorders>
              <w:top w:val="nil"/>
              <w:left w:val="nil"/>
              <w:bottom w:val="single" w:color="auto" w:sz="4" w:space="0"/>
              <w:right w:val="single" w:color="auto" w:sz="4" w:space="0"/>
            </w:tcBorders>
            <w:noWrap/>
            <w:vAlign w:val="center"/>
          </w:tcPr>
          <w:p>
            <w:pPr>
              <w:jc w:val="center"/>
              <w:rPr>
                <w:color w:val="000000"/>
                <w:highlight w:val="none"/>
              </w:rPr>
            </w:pPr>
            <w:r>
              <w:rPr>
                <w:rFonts w:hint="eastAsia" w:ascii="Times New Roman" w:hAnsi="Times New Roman" w:cs="Times New Roman"/>
                <w:kern w:val="2"/>
                <w:sz w:val="21"/>
                <w:szCs w:val="21"/>
                <w:highlight w:val="none"/>
                <w:lang w:eastAsia="zh-CN"/>
              </w:rPr>
              <w:t>吨</w:t>
            </w:r>
          </w:p>
        </w:tc>
        <w:tc>
          <w:tcPr>
            <w:tcW w:w="826" w:type="pct"/>
            <w:tcBorders>
              <w:top w:val="nil"/>
              <w:left w:val="nil"/>
              <w:bottom w:val="single" w:color="auto" w:sz="4" w:space="0"/>
              <w:right w:val="single" w:color="auto" w:sz="4" w:space="0"/>
            </w:tcBorders>
            <w:noWrap w:val="0"/>
            <w:vAlign w:val="center"/>
          </w:tcPr>
          <w:p>
            <w:pPr>
              <w:jc w:val="center"/>
              <w:rPr>
                <w:color w:val="000000"/>
                <w:highlight w:val="none"/>
              </w:rPr>
            </w:pPr>
            <w:r>
              <w:rPr>
                <w:rFonts w:hint="eastAsia" w:ascii="Times New Roman" w:hAnsi="Times New Roman" w:cs="Times New Roman"/>
                <w:kern w:val="2"/>
                <w:sz w:val="21"/>
                <w:szCs w:val="21"/>
                <w:highlight w:val="none"/>
                <w:lang w:eastAsia="zh-CN"/>
              </w:rPr>
              <w:t>209.76</w:t>
            </w:r>
          </w:p>
        </w:tc>
        <w:tc>
          <w:tcPr>
            <w:tcW w:w="826" w:type="pct"/>
            <w:tcBorders>
              <w:top w:val="nil"/>
              <w:left w:val="nil"/>
              <w:bottom w:val="single" w:color="auto" w:sz="4" w:space="0"/>
              <w:right w:val="single" w:color="auto" w:sz="4" w:space="0"/>
            </w:tcBorders>
            <w:noWrap w:val="0"/>
            <w:vAlign w:val="center"/>
          </w:tcPr>
          <w:p>
            <w:pPr>
              <w:jc w:val="center"/>
              <w:rPr>
                <w:rFonts w:hint="eastAsia" w:ascii="Times New Roman" w:hAnsi="Times New Roman" w:cs="Times New Roman"/>
                <w:kern w:val="2"/>
                <w:sz w:val="21"/>
                <w:szCs w:val="21"/>
                <w:highlight w:val="none"/>
                <w:lang w:eastAsia="zh-CN" w:bidi="ar"/>
              </w:rPr>
            </w:pPr>
            <w:r>
              <w:rPr>
                <w:rFonts w:hint="eastAsia" w:ascii="Times New Roman" w:hAnsi="Times New Roman" w:cs="Times New Roman"/>
                <w:kern w:val="2"/>
                <w:sz w:val="21"/>
                <w:szCs w:val="21"/>
                <w:highlight w:val="none"/>
                <w:lang w:eastAsia="zh-CN" w:bidi="ar"/>
              </w:rPr>
              <w:t>要求闪点不低于60℃，附检测报告</w:t>
            </w:r>
          </w:p>
        </w:tc>
      </w:tr>
    </w:tbl>
    <w:p>
      <w:pPr>
        <w:pStyle w:val="3"/>
        <w:tabs>
          <w:tab w:val="left" w:pos="2388"/>
          <w:tab w:val="left" w:pos="2832"/>
          <w:tab w:val="left" w:pos="3472"/>
          <w:tab w:val="left" w:pos="6667"/>
          <w:tab w:val="left" w:pos="7270"/>
        </w:tabs>
        <w:ind w:firstLine="424" w:firstLineChars="202"/>
        <w:rPr>
          <w:highlight w:val="none"/>
          <w:lang w:eastAsia="zh-CN"/>
        </w:rPr>
      </w:pPr>
    </w:p>
    <w:p>
      <w:pPr>
        <w:pStyle w:val="3"/>
        <w:tabs>
          <w:tab w:val="left" w:pos="2388"/>
          <w:tab w:val="left" w:pos="2832"/>
          <w:tab w:val="left" w:pos="3472"/>
          <w:tab w:val="left" w:pos="6667"/>
          <w:tab w:val="left" w:pos="7270"/>
        </w:tabs>
        <w:ind w:firstLine="424" w:firstLineChars="202"/>
        <w:rPr>
          <w:rFonts w:hint="eastAsia"/>
          <w:highlight w:val="none"/>
          <w:lang w:eastAsia="zh-CN"/>
        </w:rPr>
      </w:pPr>
      <w:r>
        <w:rPr>
          <w:rFonts w:hint="eastAsia"/>
          <w:highlight w:val="none"/>
          <w:lang w:eastAsia="zh-CN"/>
        </w:rPr>
        <w:t>本项目划分为2个标段。投标人可</w:t>
      </w:r>
      <w:r>
        <w:rPr>
          <w:rFonts w:hint="eastAsia"/>
          <w:b/>
          <w:highlight w:val="none"/>
          <w:lang w:eastAsia="zh-CN" w:bidi="ar"/>
        </w:rPr>
        <w:t>同时参加本项目一个或两个包的投标。</w:t>
      </w:r>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关于招标范围及技术要求说明见招标文件第五章“发包人要求”。</w:t>
      </w:r>
    </w:p>
    <w:p>
      <w:pPr>
        <w:pStyle w:val="5"/>
        <w:spacing w:line="360" w:lineRule="auto"/>
        <w:ind w:left="0" w:right="0"/>
        <w:jc w:val="both"/>
        <w:rPr>
          <w:rFonts w:ascii="Times New Roman" w:hAnsi="Times New Roman" w:eastAsia="宋体"/>
          <w:sz w:val="28"/>
          <w:szCs w:val="28"/>
          <w:highlight w:val="none"/>
          <w:lang w:eastAsia="zh-CN"/>
        </w:rPr>
      </w:pPr>
      <w:bookmarkStart w:id="6" w:name="_bookmark4"/>
      <w:bookmarkEnd w:id="6"/>
      <w:bookmarkStart w:id="7" w:name="_Toc6146"/>
      <w:bookmarkStart w:id="8" w:name="_Toc4885"/>
      <w:r>
        <w:rPr>
          <w:rFonts w:ascii="Times New Roman" w:hAnsi="Times New Roman" w:eastAsia="宋体"/>
          <w:sz w:val="28"/>
          <w:szCs w:val="28"/>
          <w:highlight w:val="none"/>
          <w:lang w:eastAsia="zh-CN"/>
        </w:rPr>
        <w:t>3. 投标人资格要求</w:t>
      </w:r>
      <w:bookmarkEnd w:id="7"/>
      <w:bookmarkEnd w:id="8"/>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3.1 投标人须具备以下资质和业绩条件，并具备承担本招标项目的相应能力。</w:t>
      </w:r>
    </w:p>
    <w:p>
      <w:pPr>
        <w:adjustRightInd w:val="0"/>
        <w:snapToGrid w:val="0"/>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（1）资质要求：</w:t>
      </w:r>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1）投标人必须具有独立承担民事责任能力的在中华人民共和国境内注册的法人，具备有效的营业执照（或事业法人登记证等相关证明）以及履行合同能力。</w:t>
      </w:r>
    </w:p>
    <w:p>
      <w:pPr>
        <w:pStyle w:val="3"/>
        <w:tabs>
          <w:tab w:val="left" w:pos="2388"/>
          <w:tab w:val="left" w:pos="2832"/>
          <w:tab w:val="left" w:pos="3472"/>
          <w:tab w:val="left" w:pos="6667"/>
          <w:tab w:val="left" w:pos="7270"/>
        </w:tabs>
        <w:ind w:firstLine="420"/>
        <w:jc w:val="both"/>
        <w:rPr>
          <w:highlight w:val="none"/>
          <w:lang w:eastAsia="zh-CN"/>
        </w:rPr>
      </w:pPr>
      <w:r>
        <w:rPr>
          <w:rFonts w:hint="eastAsia"/>
          <w:highlight w:val="none"/>
          <w:lang w:eastAsia="zh-CN"/>
        </w:rPr>
        <w:t>2）允许制造商或代理商参加投标，投标人须具有危险化学品经营许可证，以及成品油零售经营批准证书。</w:t>
      </w:r>
    </w:p>
    <w:p>
      <w:pPr>
        <w:pStyle w:val="3"/>
        <w:tabs>
          <w:tab w:val="left" w:pos="2388"/>
          <w:tab w:val="left" w:pos="2832"/>
          <w:tab w:val="left" w:pos="3472"/>
          <w:tab w:val="left" w:pos="6667"/>
          <w:tab w:val="left" w:pos="7270"/>
        </w:tabs>
        <w:ind w:firstLine="420"/>
        <w:jc w:val="both"/>
        <w:rPr>
          <w:highlight w:val="none"/>
          <w:lang w:eastAsia="zh-CN"/>
        </w:rPr>
      </w:pPr>
      <w:r>
        <w:rPr>
          <w:rFonts w:hint="eastAsia"/>
          <w:highlight w:val="none"/>
          <w:lang w:eastAsia="zh-CN"/>
        </w:rPr>
        <w:t>（2）财务要求：投标人须有良好的银行信用和商业信誉，不得处于破产、停业、财产被接收或冻结等任何不利于合同目的实现的情形，财务状况良好，提供承诺书，格式自拟。</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3</w:t>
      </w:r>
      <w:r>
        <w:rPr>
          <w:rFonts w:ascii="Times New Roman" w:hAnsi="Times New Roman" w:cs="Times New Roman"/>
          <w:sz w:val="21"/>
          <w:szCs w:val="21"/>
          <w:highlight w:val="none"/>
          <w:lang w:eastAsia="zh-CN"/>
        </w:rPr>
        <w:t>）信誉要求：</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1）投标人或其法定代表人（单位负责人）近三年无行贿犯罪记录，提供中国裁判文书网相关查询结果。</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2）投标人未被最高人民法院在“信用中国”网站列入“失信被执行人名单”，提供“信用中国”查询记录。</w:t>
      </w:r>
    </w:p>
    <w:p>
      <w:pPr>
        <w:spacing w:line="360" w:lineRule="auto"/>
        <w:ind w:firstLine="420" w:firstLineChars="200"/>
        <w:rPr>
          <w:rFonts w:hint="eastAsia"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3）投标人未被工商行政管理机关在全国企业信用信息公示系统中列入“严重违法失信企业名单”，提供“全国企业信用信息公示系统”查询结果</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4</w:t>
      </w:r>
      <w:r>
        <w:rPr>
          <w:rFonts w:ascii="Times New Roman" w:hAnsi="Times New Roman" w:cs="Times New Roman"/>
          <w:sz w:val="21"/>
          <w:szCs w:val="21"/>
          <w:highlight w:val="none"/>
          <w:lang w:eastAsia="zh-CN"/>
        </w:rPr>
        <w:t>）其他要求：</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1）投标单位法人及中高层管理人员不得相互参股或交叉任职；</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2）已经列入中核四0四有限公司黑名单或受到公司处罚的，在处罚期间，其法人或担任公司经营管理者在其他公司中占有股份、存在关联关系的，该公司与受到处罚的供应商均不得参与此次投标。</w:t>
      </w:r>
    </w:p>
    <w:p>
      <w:pPr>
        <w:spacing w:line="360" w:lineRule="auto"/>
        <w:ind w:firstLine="420" w:firstLineChars="200"/>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3）法律规定的其他要求。</w:t>
      </w:r>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3.2 本次招标</w:t>
      </w:r>
      <w:r>
        <w:rPr>
          <w:b/>
          <w:bCs/>
          <w:highlight w:val="none"/>
          <w:lang w:eastAsia="zh-CN"/>
        </w:rPr>
        <w:t>不接受</w:t>
      </w:r>
      <w:r>
        <w:rPr>
          <w:highlight w:val="none"/>
          <w:lang w:eastAsia="zh-CN"/>
        </w:rPr>
        <w:t>联合体投标。</w:t>
      </w:r>
    </w:p>
    <w:p>
      <w:pPr>
        <w:pStyle w:val="5"/>
        <w:spacing w:line="360" w:lineRule="auto"/>
        <w:ind w:left="0" w:right="0"/>
        <w:jc w:val="both"/>
        <w:rPr>
          <w:rFonts w:ascii="Times New Roman" w:hAnsi="Times New Roman" w:eastAsia="宋体"/>
          <w:sz w:val="28"/>
          <w:szCs w:val="28"/>
          <w:highlight w:val="none"/>
          <w:lang w:eastAsia="zh-CN"/>
        </w:rPr>
      </w:pPr>
      <w:bookmarkStart w:id="9" w:name="_bookmark5"/>
      <w:bookmarkEnd w:id="9"/>
      <w:bookmarkStart w:id="10" w:name="_Toc8457"/>
      <w:bookmarkStart w:id="11" w:name="_Toc24522"/>
      <w:r>
        <w:rPr>
          <w:rFonts w:ascii="Times New Roman" w:hAnsi="Times New Roman" w:eastAsia="宋体"/>
          <w:sz w:val="28"/>
          <w:szCs w:val="28"/>
          <w:highlight w:val="none"/>
          <w:lang w:eastAsia="zh-CN"/>
        </w:rPr>
        <w:t>4. 招标文件的获取</w:t>
      </w:r>
      <w:bookmarkEnd w:id="10"/>
      <w:bookmarkEnd w:id="11"/>
    </w:p>
    <w:p>
      <w:pPr>
        <w:tabs>
          <w:tab w:val="left" w:pos="2388"/>
          <w:tab w:val="left" w:pos="2832"/>
          <w:tab w:val="left" w:pos="3472"/>
          <w:tab w:val="left" w:pos="6667"/>
          <w:tab w:val="left" w:pos="7270"/>
        </w:tabs>
        <w:spacing w:line="360" w:lineRule="auto"/>
        <w:ind w:firstLine="420" w:firstLineChars="200"/>
        <w:jc w:val="both"/>
        <w:rPr>
          <w:rFonts w:ascii="Times New Roman" w:hAnsi="Times New Roman" w:cs="Times New Roman"/>
          <w:sz w:val="21"/>
          <w:szCs w:val="21"/>
          <w:highlight w:val="none"/>
          <w:lang w:eastAsia="zh-CN"/>
        </w:rPr>
      </w:pPr>
      <w:r>
        <w:rPr>
          <w:rFonts w:ascii="Times New Roman" w:hAnsi="Times New Roman" w:cs="Times New Roman"/>
          <w:sz w:val="21"/>
          <w:szCs w:val="21"/>
          <w:highlight w:val="none"/>
          <w:lang w:eastAsia="zh-CN"/>
        </w:rPr>
        <w:t>4.1 报名及购买时间：</w:t>
      </w:r>
      <w:r>
        <w:rPr>
          <w:rFonts w:hint="eastAsia" w:ascii="Times New Roman" w:hAnsi="Times New Roman" w:cs="Times New Roman"/>
          <w:sz w:val="21"/>
          <w:szCs w:val="21"/>
          <w:highlight w:val="none"/>
          <w:lang w:eastAsia="zh-CN"/>
        </w:rPr>
        <w:t>2022年12月</w:t>
      </w:r>
      <w:r>
        <w:rPr>
          <w:rFonts w:ascii="Times New Roman" w:hAnsi="Times New Roman" w:cs="Times New Roman"/>
          <w:sz w:val="21"/>
          <w:szCs w:val="21"/>
          <w:highlight w:val="none"/>
          <w:lang w:eastAsia="zh-CN"/>
        </w:rPr>
        <w:t>30日13时30分至</w:t>
      </w:r>
      <w:r>
        <w:rPr>
          <w:rFonts w:hint="eastAsia" w:ascii="Times New Roman" w:hAnsi="Times New Roman" w:cs="Times New Roman"/>
          <w:sz w:val="21"/>
          <w:szCs w:val="21"/>
          <w:highlight w:val="none"/>
          <w:lang w:eastAsia="zh-CN"/>
        </w:rPr>
        <w:t>202</w:t>
      </w:r>
      <w:r>
        <w:rPr>
          <w:rFonts w:ascii="Times New Roman" w:hAnsi="Times New Roman" w:cs="Times New Roman"/>
          <w:sz w:val="21"/>
          <w:szCs w:val="21"/>
          <w:highlight w:val="none"/>
          <w:lang w:eastAsia="zh-CN"/>
        </w:rPr>
        <w:t>2</w:t>
      </w:r>
      <w:r>
        <w:rPr>
          <w:rFonts w:hint="eastAsia" w:ascii="Times New Roman" w:hAnsi="Times New Roman" w:cs="Times New Roman"/>
          <w:sz w:val="21"/>
          <w:szCs w:val="21"/>
          <w:highlight w:val="none"/>
          <w:lang w:eastAsia="zh-CN"/>
        </w:rPr>
        <w:t>年0</w:t>
      </w:r>
      <w:r>
        <w:rPr>
          <w:rFonts w:ascii="Times New Roman" w:hAnsi="Times New Roman" w:cs="Times New Roman"/>
          <w:sz w:val="21"/>
          <w:szCs w:val="21"/>
          <w:highlight w:val="none"/>
          <w:lang w:eastAsia="zh-CN"/>
        </w:rPr>
        <w:t>1</w:t>
      </w:r>
      <w:r>
        <w:rPr>
          <w:rFonts w:hint="eastAsia" w:ascii="Times New Roman" w:hAnsi="Times New Roman" w:cs="Times New Roman"/>
          <w:sz w:val="21"/>
          <w:szCs w:val="21"/>
          <w:highlight w:val="none"/>
          <w:lang w:eastAsia="zh-CN"/>
        </w:rPr>
        <w:t>月</w:t>
      </w:r>
      <w:r>
        <w:rPr>
          <w:rFonts w:ascii="Times New Roman" w:hAnsi="Times New Roman" w:cs="Times New Roman"/>
          <w:sz w:val="21"/>
          <w:szCs w:val="21"/>
          <w:highlight w:val="none"/>
          <w:lang w:eastAsia="zh-CN"/>
        </w:rPr>
        <w:t>06日</w:t>
      </w:r>
      <w:r>
        <w:rPr>
          <w:rFonts w:hint="eastAsia" w:ascii="Times New Roman" w:hAnsi="Times New Roman" w:cs="Times New Roman"/>
          <w:sz w:val="21"/>
          <w:szCs w:val="21"/>
          <w:highlight w:val="none"/>
          <w:lang w:eastAsia="zh-CN"/>
        </w:rPr>
        <w:t>1</w:t>
      </w:r>
      <w:r>
        <w:rPr>
          <w:rFonts w:ascii="Times New Roman" w:hAnsi="Times New Roman" w:cs="Times New Roman"/>
          <w:sz w:val="21"/>
          <w:szCs w:val="21"/>
          <w:highlight w:val="none"/>
          <w:lang w:eastAsia="zh-CN"/>
        </w:rPr>
        <w:t>6时</w:t>
      </w:r>
      <w:r>
        <w:rPr>
          <w:rFonts w:hint="eastAsia" w:ascii="Times New Roman" w:hAnsi="Times New Roman" w:cs="Times New Roman"/>
          <w:sz w:val="21"/>
          <w:szCs w:val="21"/>
          <w:highlight w:val="none"/>
          <w:lang w:eastAsia="zh-CN"/>
        </w:rPr>
        <w:t>0</w:t>
      </w:r>
      <w:r>
        <w:rPr>
          <w:rFonts w:ascii="Times New Roman" w:hAnsi="Times New Roman" w:cs="Times New Roman"/>
          <w:sz w:val="21"/>
          <w:szCs w:val="21"/>
          <w:highlight w:val="none"/>
          <w:lang w:eastAsia="zh-CN"/>
        </w:rPr>
        <w:t>0分，</w:t>
      </w:r>
      <w:r>
        <w:rPr>
          <w:rFonts w:hint="eastAsia" w:ascii="Times New Roman" w:hAnsi="Times New Roman" w:cs="Times New Roman"/>
          <w:sz w:val="21"/>
          <w:szCs w:val="21"/>
          <w:highlight w:val="none"/>
          <w:lang w:eastAsia="zh-CN"/>
        </w:rPr>
        <w:t>投标人须在中国核工业集团有限公司电子采购平台注册，将经办人授权委托书、营业执照及投标人资格要求相应证明文件发送到</w:t>
      </w:r>
      <w:r>
        <w:rPr>
          <w:rFonts w:hint="eastAsia" w:ascii="Times New Roman" w:hAnsi="Times New Roman" w:cs="Times New Roman"/>
          <w:color w:val="000000"/>
          <w:sz w:val="21"/>
          <w:szCs w:val="21"/>
          <w:highlight w:val="none"/>
          <w:lang w:eastAsia="zh-CN"/>
        </w:rPr>
        <w:t>gkjy</w:t>
      </w:r>
      <w:r>
        <w:rPr>
          <w:rFonts w:hint="eastAsia" w:ascii="Times New Roman" w:hAnsi="Times New Roman" w:cs="Times New Roman"/>
          <w:color w:val="000000"/>
          <w:sz w:val="21"/>
          <w:szCs w:val="21"/>
          <w:highlight w:val="none"/>
          <w:lang w:val="en-US" w:eastAsia="zh-CN"/>
        </w:rPr>
        <w:t>zjb</w:t>
      </w:r>
      <w:r>
        <w:rPr>
          <w:rFonts w:ascii="Times New Roman" w:hAnsi="Times New Roman" w:cs="Times New Roman"/>
          <w:color w:val="000000"/>
          <w:sz w:val="21"/>
          <w:szCs w:val="21"/>
          <w:highlight w:val="none"/>
          <w:lang w:eastAsia="zh-CN"/>
        </w:rPr>
        <w:t>@163.com</w:t>
      </w:r>
      <w:r>
        <w:rPr>
          <w:rFonts w:ascii="Times New Roman" w:hAnsi="Times New Roman" w:cs="Times New Roman"/>
          <w:sz w:val="21"/>
          <w:szCs w:val="21"/>
          <w:highlight w:val="none"/>
          <w:lang w:eastAsia="zh-CN"/>
        </w:rPr>
        <w:t>申领购买，付费后于中国核工业集团有限公司电子采购平台下载招标文件。如未在发售截止时间前完成注册、申请报名、购买、下载等工作，投标人自行承担其后果。（中核集团电子采购平台服务电话：021-61592300）。</w:t>
      </w:r>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4.2 招标文件售价800元</w:t>
      </w:r>
      <w:r>
        <w:rPr>
          <w:rFonts w:hint="eastAsia"/>
          <w:highlight w:val="none"/>
          <w:lang w:eastAsia="zh-CN"/>
        </w:rPr>
        <w:t>/包</w:t>
      </w:r>
      <w:r>
        <w:rPr>
          <w:highlight w:val="none"/>
          <w:lang w:eastAsia="zh-CN"/>
        </w:rPr>
        <w:t>，售后不退。</w:t>
      </w:r>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4.3 投标人必须向招标机构购买招标文件并进行登记才具有投标资格。</w:t>
      </w:r>
    </w:p>
    <w:p>
      <w:pPr>
        <w:pStyle w:val="5"/>
        <w:spacing w:line="360" w:lineRule="auto"/>
        <w:ind w:left="0" w:right="0"/>
        <w:rPr>
          <w:rFonts w:ascii="Times New Roman" w:hAnsi="Times New Roman" w:eastAsia="宋体"/>
          <w:sz w:val="28"/>
          <w:szCs w:val="28"/>
          <w:highlight w:val="none"/>
          <w:lang w:eastAsia="zh-CN"/>
        </w:rPr>
      </w:pPr>
      <w:bookmarkStart w:id="12" w:name="_bookmark6"/>
      <w:bookmarkEnd w:id="12"/>
      <w:bookmarkStart w:id="13" w:name="_Toc16881"/>
      <w:bookmarkStart w:id="14" w:name="_Toc15764"/>
      <w:r>
        <w:rPr>
          <w:rFonts w:ascii="Times New Roman" w:hAnsi="Times New Roman" w:eastAsia="宋体"/>
          <w:sz w:val="28"/>
          <w:szCs w:val="28"/>
          <w:highlight w:val="none"/>
          <w:lang w:eastAsia="zh-CN"/>
        </w:rPr>
        <w:t>5. 投标文件的递交</w:t>
      </w:r>
      <w:bookmarkEnd w:id="13"/>
      <w:bookmarkEnd w:id="14"/>
    </w:p>
    <w:p>
      <w:pPr>
        <w:pStyle w:val="3"/>
        <w:tabs>
          <w:tab w:val="left" w:pos="2388"/>
          <w:tab w:val="left" w:pos="2832"/>
          <w:tab w:val="left" w:pos="3472"/>
          <w:tab w:val="left" w:pos="6667"/>
          <w:tab w:val="left" w:pos="7270"/>
        </w:tabs>
        <w:ind w:firstLine="420"/>
        <w:jc w:val="both"/>
        <w:rPr>
          <w:highlight w:val="none"/>
          <w:lang w:eastAsia="zh-CN"/>
        </w:rPr>
      </w:pPr>
      <w:r>
        <w:rPr>
          <w:highlight w:val="none"/>
          <w:lang w:eastAsia="zh-CN"/>
        </w:rPr>
        <w:t>5.1投标文件递交的截止时间（投标截止时间，下同）为</w:t>
      </w:r>
      <w:r>
        <w:rPr>
          <w:rFonts w:hint="eastAsia"/>
          <w:highlight w:val="none"/>
          <w:lang w:eastAsia="zh-CN"/>
        </w:rPr>
        <w:t>202</w:t>
      </w:r>
      <w:r>
        <w:rPr>
          <w:highlight w:val="none"/>
          <w:lang w:eastAsia="zh-CN"/>
        </w:rPr>
        <w:t>2</w:t>
      </w:r>
      <w:r>
        <w:rPr>
          <w:rFonts w:hint="eastAsia"/>
          <w:highlight w:val="none"/>
          <w:lang w:eastAsia="zh-CN"/>
        </w:rPr>
        <w:t>年0</w:t>
      </w:r>
      <w:r>
        <w:rPr>
          <w:highlight w:val="none"/>
          <w:lang w:eastAsia="zh-CN"/>
        </w:rPr>
        <w:t>1</w:t>
      </w:r>
      <w:r>
        <w:rPr>
          <w:rFonts w:hint="eastAsia"/>
          <w:highlight w:val="none"/>
          <w:lang w:eastAsia="zh-CN"/>
        </w:rPr>
        <w:t>月</w:t>
      </w:r>
      <w:r>
        <w:rPr>
          <w:highlight w:val="none"/>
          <w:lang w:eastAsia="zh-CN"/>
        </w:rPr>
        <w:t>21</w:t>
      </w:r>
      <w:r>
        <w:rPr>
          <w:rFonts w:hint="eastAsia"/>
          <w:highlight w:val="none"/>
          <w:lang w:eastAsia="zh-CN"/>
        </w:rPr>
        <w:t>日</w:t>
      </w:r>
      <w:r>
        <w:rPr>
          <w:highlight w:val="none"/>
          <w:lang w:eastAsia="zh-CN"/>
        </w:rPr>
        <w:t>13</w:t>
      </w:r>
      <w:r>
        <w:rPr>
          <w:rFonts w:hint="eastAsia"/>
          <w:highlight w:val="none"/>
          <w:lang w:eastAsia="zh-CN"/>
        </w:rPr>
        <w:t>时</w:t>
      </w:r>
      <w:r>
        <w:rPr>
          <w:highlight w:val="none"/>
          <w:lang w:eastAsia="zh-CN"/>
        </w:rPr>
        <w:t>3</w:t>
      </w:r>
      <w:r>
        <w:rPr>
          <w:rFonts w:hint="eastAsia"/>
          <w:highlight w:val="none"/>
          <w:lang w:eastAsia="zh-CN"/>
        </w:rPr>
        <w:t>0分</w:t>
      </w:r>
      <w:r>
        <w:rPr>
          <w:highlight w:val="none"/>
          <w:lang w:eastAsia="zh-CN"/>
        </w:rPr>
        <w:t>，地点为</w:t>
      </w:r>
      <w:r>
        <w:rPr>
          <w:rFonts w:hint="eastAsia"/>
          <w:highlight w:val="none"/>
          <w:lang w:val="en-US" w:eastAsia="zh-CN"/>
        </w:rPr>
        <w:t>北京市海淀区中关村南大街31号8号楼208室</w:t>
      </w:r>
      <w:r>
        <w:rPr>
          <w:highlight w:val="none"/>
          <w:lang w:eastAsia="zh-CN"/>
        </w:rPr>
        <w:t>。</w:t>
      </w:r>
    </w:p>
    <w:p>
      <w:pPr>
        <w:pStyle w:val="3"/>
        <w:ind w:firstLine="420"/>
        <w:rPr>
          <w:highlight w:val="none"/>
          <w:lang w:eastAsia="zh-CN"/>
        </w:rPr>
      </w:pPr>
      <w:r>
        <w:rPr>
          <w:highlight w:val="none"/>
          <w:lang w:eastAsia="zh-CN"/>
        </w:rPr>
        <w:t>5.2 逾期送达的、未送达指定地点的或者不按照招标文件要求密封的投标文件，招标人将予以拒收。</w:t>
      </w:r>
    </w:p>
    <w:p>
      <w:pPr>
        <w:pStyle w:val="9"/>
        <w:spacing w:line="360" w:lineRule="auto"/>
        <w:ind w:left="0" w:right="0"/>
        <w:outlineLvl w:val="1"/>
        <w:rPr>
          <w:rFonts w:ascii="Times New Roman" w:hAnsi="Times New Roman" w:eastAsia="宋体" w:cs="Times New Roman"/>
          <w:sz w:val="28"/>
          <w:szCs w:val="28"/>
          <w:highlight w:val="none"/>
        </w:rPr>
      </w:pPr>
      <w:bookmarkStart w:id="15" w:name="_bookmark8"/>
      <w:bookmarkEnd w:id="15"/>
      <w:bookmarkStart w:id="16" w:name="_bookmark7"/>
      <w:bookmarkEnd w:id="16"/>
      <w:bookmarkStart w:id="17" w:name="_Toc30718"/>
      <w:r>
        <w:rPr>
          <w:rFonts w:ascii="Times New Roman" w:hAnsi="Times New Roman" w:eastAsia="宋体" w:cs="Times New Roman"/>
          <w:sz w:val="28"/>
          <w:szCs w:val="28"/>
          <w:highlight w:val="none"/>
        </w:rPr>
        <w:t>6. 发布公告的媒介</w:t>
      </w:r>
      <w:bookmarkEnd w:id="17"/>
    </w:p>
    <w:p>
      <w:pPr>
        <w:pStyle w:val="3"/>
        <w:tabs>
          <w:tab w:val="left" w:pos="3880"/>
        </w:tabs>
        <w:ind w:firstLineChars="0"/>
        <w:rPr>
          <w:rFonts w:hint="eastAsia"/>
          <w:highlight w:val="none"/>
          <w:lang w:eastAsia="zh-CN"/>
        </w:rPr>
      </w:pPr>
      <w:bookmarkStart w:id="18" w:name="_Toc13257"/>
      <w:bookmarkStart w:id="19" w:name="_Toc25968"/>
      <w:r>
        <w:rPr>
          <w:rFonts w:hint="eastAsia"/>
          <w:highlight w:val="none"/>
          <w:lang w:eastAsia="zh-CN"/>
        </w:rPr>
        <w:t>本次招标公告在中国核工业集团有限公司电子采购平台（</w:t>
      </w:r>
      <w:r>
        <w:rPr>
          <w:highlight w:val="none"/>
          <w:lang w:eastAsia="zh-CN"/>
        </w:rPr>
        <w:t>https://ecp.cnnc.com.cn）发布，同步至中国招标投标公共服务平台（www.cebpubservice.com）。</w:t>
      </w:r>
    </w:p>
    <w:p>
      <w:pPr>
        <w:pStyle w:val="5"/>
        <w:numPr>
          <w:ilvl w:val="0"/>
          <w:numId w:val="1"/>
        </w:numPr>
        <w:spacing w:line="360" w:lineRule="auto"/>
        <w:ind w:left="0" w:right="0"/>
        <w:rPr>
          <w:rFonts w:ascii="Times New Roman" w:hAnsi="Times New Roman" w:eastAsia="宋体"/>
          <w:sz w:val="28"/>
          <w:szCs w:val="28"/>
          <w:highlight w:val="none"/>
          <w:lang w:eastAsia="zh-CN"/>
        </w:rPr>
      </w:pPr>
      <w:r>
        <w:rPr>
          <w:rFonts w:ascii="Times New Roman" w:hAnsi="Times New Roman" w:eastAsia="宋体"/>
          <w:sz w:val="28"/>
          <w:szCs w:val="28"/>
          <w:highlight w:val="none"/>
          <w:lang w:eastAsia="zh-CN"/>
        </w:rPr>
        <w:t>联系方式</w:t>
      </w:r>
      <w:bookmarkEnd w:id="18"/>
      <w:bookmarkEnd w:id="19"/>
    </w:p>
    <w:p>
      <w:pPr>
        <w:pStyle w:val="3"/>
        <w:tabs>
          <w:tab w:val="left" w:pos="3880"/>
        </w:tabs>
        <w:ind w:firstLine="420"/>
        <w:rPr>
          <w:highlight w:val="none"/>
          <w:lang w:eastAsia="zh-CN"/>
        </w:rPr>
      </w:pPr>
      <w:r>
        <w:rPr>
          <w:highlight w:val="none"/>
          <w:lang w:eastAsia="zh-CN"/>
        </w:rPr>
        <w:t>招标人：中核四0四有限公司</w:t>
      </w:r>
      <w:r>
        <w:rPr>
          <w:rFonts w:hint="eastAsia"/>
          <w:highlight w:val="none"/>
          <w:lang w:eastAsia="zh-CN"/>
        </w:rPr>
        <w:t>（委托）</w:t>
      </w:r>
    </w:p>
    <w:p>
      <w:pPr>
        <w:pStyle w:val="3"/>
        <w:tabs>
          <w:tab w:val="left" w:pos="3880"/>
        </w:tabs>
        <w:ind w:firstLine="420"/>
        <w:rPr>
          <w:highlight w:val="none"/>
          <w:lang w:eastAsia="zh-CN"/>
        </w:rPr>
      </w:pPr>
      <w:r>
        <w:rPr>
          <w:highlight w:val="none"/>
          <w:lang w:eastAsia="zh-CN"/>
        </w:rPr>
        <w:t>地 址：甘肃矿区</w:t>
      </w:r>
    </w:p>
    <w:p>
      <w:pPr>
        <w:pStyle w:val="3"/>
        <w:tabs>
          <w:tab w:val="left" w:pos="3880"/>
        </w:tabs>
        <w:ind w:firstLine="420"/>
        <w:rPr>
          <w:highlight w:val="none"/>
          <w:lang w:eastAsia="zh-CN"/>
        </w:rPr>
      </w:pPr>
      <w:r>
        <w:rPr>
          <w:highlight w:val="none"/>
          <w:lang w:eastAsia="zh-CN"/>
        </w:rPr>
        <w:t>邮 编：735212</w:t>
      </w:r>
    </w:p>
    <w:p>
      <w:pPr>
        <w:pStyle w:val="3"/>
        <w:tabs>
          <w:tab w:val="left" w:pos="3880"/>
        </w:tabs>
        <w:ind w:firstLine="420"/>
        <w:rPr>
          <w:highlight w:val="none"/>
          <w:lang w:eastAsia="zh-CN"/>
        </w:rPr>
      </w:pPr>
      <w:r>
        <w:rPr>
          <w:highlight w:val="none"/>
          <w:lang w:eastAsia="zh-CN"/>
        </w:rPr>
        <w:t>联系人：</w:t>
      </w:r>
      <w:r>
        <w:rPr>
          <w:rFonts w:hint="eastAsia"/>
          <w:highlight w:val="none"/>
          <w:lang w:eastAsia="zh-CN"/>
        </w:rPr>
        <w:t>武国章</w:t>
      </w:r>
    </w:p>
    <w:p>
      <w:pPr>
        <w:pStyle w:val="3"/>
        <w:tabs>
          <w:tab w:val="left" w:pos="3880"/>
        </w:tabs>
        <w:ind w:firstLine="420"/>
        <w:rPr>
          <w:highlight w:val="none"/>
          <w:lang w:eastAsia="zh-CN"/>
        </w:rPr>
      </w:pPr>
      <w:r>
        <w:rPr>
          <w:highlight w:val="none"/>
          <w:lang w:eastAsia="zh-CN"/>
        </w:rPr>
        <w:t>电 话：</w:t>
      </w:r>
      <w:r>
        <w:rPr>
          <w:rFonts w:hint="eastAsia"/>
          <w:highlight w:val="none"/>
          <w:lang w:eastAsia="zh-CN"/>
        </w:rPr>
        <w:t>18093745947</w:t>
      </w:r>
    </w:p>
    <w:p>
      <w:pPr>
        <w:pStyle w:val="3"/>
        <w:tabs>
          <w:tab w:val="left" w:pos="3880"/>
        </w:tabs>
        <w:ind w:firstLine="420"/>
        <w:rPr>
          <w:highlight w:val="none"/>
          <w:lang w:eastAsia="zh-CN"/>
        </w:rPr>
      </w:pPr>
      <w:r>
        <w:rPr>
          <w:highlight w:val="none"/>
          <w:lang w:eastAsia="zh-CN"/>
        </w:rPr>
        <w:t>传 真：</w:t>
      </w:r>
      <w:r>
        <w:rPr>
          <w:rFonts w:hint="eastAsia"/>
          <w:highlight w:val="none"/>
          <w:lang w:eastAsia="zh-CN"/>
        </w:rPr>
        <w:t>/</w:t>
      </w:r>
    </w:p>
    <w:p>
      <w:pPr>
        <w:pStyle w:val="3"/>
        <w:tabs>
          <w:tab w:val="left" w:pos="3880"/>
        </w:tabs>
        <w:ind w:firstLine="420"/>
        <w:rPr>
          <w:highlight w:val="none"/>
          <w:lang w:eastAsia="zh-CN"/>
        </w:rPr>
      </w:pPr>
      <w:r>
        <w:rPr>
          <w:highlight w:val="none"/>
          <w:lang w:eastAsia="zh-CN"/>
        </w:rPr>
        <w:t>招标代理机构：北京国科军友工程咨询有限公司</w:t>
      </w:r>
    </w:p>
    <w:p>
      <w:pPr>
        <w:pStyle w:val="3"/>
        <w:tabs>
          <w:tab w:val="left" w:pos="3880"/>
        </w:tabs>
        <w:ind w:firstLine="420"/>
        <w:rPr>
          <w:highlight w:val="none"/>
          <w:lang w:eastAsia="zh-CN"/>
        </w:rPr>
      </w:pPr>
      <w:r>
        <w:rPr>
          <w:rFonts w:ascii="Times New Roman" w:hAnsi="Times New Roman" w:cs="Times New Roman"/>
          <w:sz w:val="21"/>
          <w:szCs w:val="21"/>
          <w:highlight w:val="none"/>
          <w:lang w:eastAsia="zh-CN"/>
        </w:rPr>
        <w:t>地 址：</w:t>
      </w:r>
      <w:r>
        <w:rPr>
          <w:rFonts w:hint="eastAsia"/>
          <w:highlight w:val="none"/>
          <w:lang w:val="en-US" w:eastAsia="zh-CN"/>
        </w:rPr>
        <w:t>北京市海淀区中关村南大街31号8号楼208室</w:t>
      </w:r>
    </w:p>
    <w:p>
      <w:pPr>
        <w:pStyle w:val="3"/>
        <w:tabs>
          <w:tab w:val="left" w:pos="3880"/>
        </w:tabs>
        <w:ind w:firstLine="420"/>
        <w:rPr>
          <w:rFonts w:hint="eastAsia"/>
          <w:highlight w:val="none"/>
          <w:lang w:val="en-US" w:eastAsia="zh-CN"/>
        </w:rPr>
      </w:pPr>
      <w:r>
        <w:rPr>
          <w:highlight w:val="none"/>
          <w:lang w:eastAsia="zh-CN"/>
        </w:rPr>
        <w:t>邮 编：</w:t>
      </w:r>
      <w:r>
        <w:rPr>
          <w:rFonts w:hint="eastAsia"/>
          <w:highlight w:val="none"/>
          <w:lang w:val="en-US" w:eastAsia="zh-CN"/>
        </w:rPr>
        <w:t>100081</w:t>
      </w:r>
    </w:p>
    <w:p>
      <w:pPr>
        <w:pStyle w:val="3"/>
        <w:tabs>
          <w:tab w:val="left" w:pos="3880"/>
        </w:tabs>
        <w:ind w:firstLine="420"/>
        <w:rPr>
          <w:rFonts w:hint="eastAsia"/>
          <w:highlight w:val="none"/>
          <w:lang w:val="en-US" w:eastAsia="zh-CN"/>
        </w:rPr>
      </w:pPr>
      <w:r>
        <w:rPr>
          <w:highlight w:val="none"/>
          <w:lang w:eastAsia="zh-CN"/>
        </w:rPr>
        <w:t>联系人：</w:t>
      </w:r>
      <w:r>
        <w:rPr>
          <w:rFonts w:hint="eastAsia"/>
          <w:highlight w:val="none"/>
          <w:lang w:val="en-US" w:eastAsia="zh-CN"/>
        </w:rPr>
        <w:t>范志伟</w:t>
      </w:r>
    </w:p>
    <w:p>
      <w:pPr>
        <w:pStyle w:val="3"/>
        <w:tabs>
          <w:tab w:val="left" w:pos="3880"/>
        </w:tabs>
        <w:ind w:firstLine="420"/>
        <w:rPr>
          <w:rFonts w:hint="eastAsia"/>
          <w:highlight w:val="none"/>
          <w:lang w:val="en-US" w:eastAsia="zh-CN"/>
        </w:rPr>
      </w:pPr>
      <w:r>
        <w:rPr>
          <w:highlight w:val="none"/>
          <w:lang w:eastAsia="zh-CN"/>
        </w:rPr>
        <w:t>电 话：</w:t>
      </w:r>
      <w:r>
        <w:rPr>
          <w:rFonts w:hint="eastAsia"/>
          <w:highlight w:val="none"/>
          <w:lang w:val="en-US" w:eastAsia="zh-CN"/>
        </w:rPr>
        <w:t>13401043559</w:t>
      </w:r>
    </w:p>
    <w:p>
      <w:pPr>
        <w:pStyle w:val="3"/>
        <w:tabs>
          <w:tab w:val="left" w:pos="3880"/>
        </w:tabs>
        <w:ind w:firstLine="420"/>
        <w:rPr>
          <w:highlight w:val="none"/>
          <w:lang w:eastAsia="zh-CN"/>
        </w:rPr>
      </w:pPr>
      <w:r>
        <w:rPr>
          <w:highlight w:val="none"/>
          <w:lang w:eastAsia="zh-CN"/>
        </w:rPr>
        <w:t>传 真：</w:t>
      </w:r>
      <w:r>
        <w:rPr>
          <w:rFonts w:hint="eastAsia"/>
          <w:highlight w:val="none"/>
          <w:lang w:eastAsia="zh-CN"/>
        </w:rPr>
        <w:t>/</w:t>
      </w:r>
    </w:p>
    <w:p>
      <w:pPr>
        <w:pStyle w:val="3"/>
        <w:tabs>
          <w:tab w:val="left" w:pos="3880"/>
        </w:tabs>
        <w:ind w:firstLine="420"/>
        <w:rPr>
          <w:highlight w:val="none"/>
          <w:lang w:eastAsia="zh-CN"/>
        </w:rPr>
      </w:pPr>
      <w:r>
        <w:rPr>
          <w:highlight w:val="none"/>
          <w:lang w:eastAsia="zh-CN"/>
        </w:rPr>
        <w:t>电子邮件：</w:t>
      </w:r>
      <w:r>
        <w:rPr>
          <w:highlight w:val="none"/>
          <w:lang w:eastAsia="zh-CN"/>
        </w:rPr>
        <w:fldChar w:fldCharType="begin"/>
      </w:r>
      <w:r>
        <w:rPr>
          <w:highlight w:val="none"/>
          <w:lang w:eastAsia="zh-CN"/>
        </w:rPr>
        <w:instrText xml:space="preserve"> HYPERLINK "mailto:gkzb59518954@163.com" </w:instrText>
      </w:r>
      <w:r>
        <w:rPr>
          <w:highlight w:val="none"/>
          <w:lang w:eastAsia="zh-CN"/>
        </w:rPr>
        <w:fldChar w:fldCharType="separate"/>
      </w:r>
      <w:r>
        <w:rPr>
          <w:rFonts w:hint="eastAsia"/>
          <w:highlight w:val="none"/>
          <w:lang w:eastAsia="zh-CN"/>
        </w:rPr>
        <w:t>gkjy</w:t>
      </w:r>
      <w:r>
        <w:rPr>
          <w:rFonts w:hint="eastAsia"/>
          <w:highlight w:val="none"/>
          <w:lang w:val="en-US" w:eastAsia="zh-CN"/>
        </w:rPr>
        <w:t>zjb</w:t>
      </w:r>
      <w:r>
        <w:rPr>
          <w:highlight w:val="none"/>
          <w:lang w:eastAsia="zh-CN"/>
        </w:rPr>
        <w:t>@163.com</w:t>
      </w:r>
      <w:r>
        <w:rPr>
          <w:highlight w:val="none"/>
          <w:lang w:eastAsia="zh-CN"/>
        </w:rPr>
        <w:fldChar w:fldCharType="end"/>
      </w:r>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101C2"/>
    <w:rsid w:val="53BD3D50"/>
    <w:rsid w:val="73D8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line="590" w:lineRule="exact"/>
      <w:ind w:left="3"/>
      <w:outlineLvl w:val="0"/>
    </w:pPr>
    <w:rPr>
      <w:rFonts w:ascii="Microsoft JhengHei" w:hAnsi="Microsoft JhengHei" w:eastAsia="Microsoft JhengHei" w:cs="Times New Roman"/>
      <w:b/>
      <w:bCs/>
      <w:sz w:val="44"/>
      <w:szCs w:val="44"/>
    </w:rPr>
  </w:style>
  <w:style w:type="paragraph" w:styleId="5">
    <w:name w:val="heading 2"/>
    <w:basedOn w:val="1"/>
    <w:next w:val="1"/>
    <w:qFormat/>
    <w:uiPriority w:val="9"/>
    <w:pPr>
      <w:ind w:left="100" w:right="102"/>
      <w:outlineLvl w:val="1"/>
    </w:pPr>
    <w:rPr>
      <w:rFonts w:ascii="Microsoft JhengHei" w:hAnsi="Microsoft JhengHei" w:eastAsia="Microsoft JhengHei"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after="120" w:line="240" w:lineRule="auto"/>
      <w:ind w:firstLine="420" w:firstLineChars="100"/>
    </w:pPr>
    <w:rPr>
      <w:rFonts w:ascii="宋体" w:hAnsi="宋体"/>
      <w:sz w:val="22"/>
      <w:szCs w:val="22"/>
    </w:rPr>
  </w:style>
  <w:style w:type="paragraph" w:styleId="3">
    <w:name w:val="Body Text"/>
    <w:basedOn w:val="1"/>
    <w:semiHidden/>
    <w:unhideWhenUsed/>
    <w:qFormat/>
    <w:uiPriority w:val="99"/>
    <w:pPr>
      <w:jc w:val="left"/>
    </w:pPr>
    <w:rPr>
      <w:rFonts w:ascii="宋体" w:hAnsi="宋体" w:cs="宋体"/>
      <w:szCs w:val="21"/>
      <w:lang w:eastAsia="en-US"/>
    </w:rPr>
  </w:style>
  <w:style w:type="character" w:styleId="8">
    <w:name w:val="Hyperlink"/>
    <w:unhideWhenUsed/>
    <w:qFormat/>
    <w:uiPriority w:val="99"/>
    <w:rPr>
      <w:rFonts w:hint="default" w:ascii="Times New Roman" w:hAnsi="Times New Roman" w:cs="Times New Roman"/>
      <w:color w:val="0000FF"/>
      <w:u w:val="single"/>
    </w:rPr>
  </w:style>
  <w:style w:type="paragraph" w:customStyle="1" w:styleId="9">
    <w:name w:val="Heading 2"/>
    <w:basedOn w:val="1"/>
    <w:uiPriority w:val="0"/>
    <w:pPr>
      <w:ind w:left="100" w:right="102"/>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杜慧娟</cp:lastModifiedBy>
  <dcterms:modified xsi:type="dcterms:W3CDTF">2021-12-29T12:49:54Z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